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sdt>
      <w:sdtPr>
        <w:id w:val="4603648"/>
        <w:docPartObj>
          <w:docPartGallery w:val="Cover Pages"/>
          <w:docPartUnique/>
        </w:docPartObj>
      </w:sdtPr>
      <w:sdtEndPr>
        <w:rPr>
          <w:sz w:val="24"/>
        </w:rPr>
      </w:sdtEndPr>
      <w:sdtContent>
        <w:p w:rsidR="00A307D0" w:rsidRDefault="00A307D0"/>
        <w:p w:rsidR="00A307D0" w:rsidRDefault="00B84415">
          <w:r>
            <w:rPr>
              <w:noProof/>
              <w:lang w:eastAsia="en-US"/>
            </w:rPr>
            <w:pict>
              <v:group id="_x0000_s1093" style="position:absolute;margin-left:0;margin-top:0;width:564.5pt;height:798.85pt;z-index:251669504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94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95" style="position:absolute;left:339;top:406;width:11582;height:15025;mso-width-relative:margin;v-text-anchor:middle" fillcolor="#8c8c8c [1772]" strokecolor="white [3212]" strokeweight="1pt">
                    <v:fill r:id="rId9" o:title="Zig zag" color2="#bfbfbf [2412]" type="pattern"/>
                    <v:shadow color="#d8d8d8 [2732]" offset="3pt,3pt" offset2="2pt,2pt"/>
                  </v:rect>
                  <v:rect id="_x0000_s1096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96"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alias w:val="Заголовок"/>
                            <w:id w:val="16962279"/>
                            <w:placeholder>
                              <w:docPart w:val="745B431377F544B6A61588E41594AA8F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A307D0" w:rsidRDefault="00A307D0">
                              <w:pPr>
                                <w:pStyle w:val="ac"/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t>1</w:t>
                              </w:r>
                              <w:r w:rsidR="0000131A">
                                <w:rPr>
                                  <w:color w:val="FFFFFF" w:themeColor="background1"/>
                                  <w:sz w:val="80"/>
                                  <w:szCs w:val="80"/>
                                </w:rPr>
                                <w:t>.5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Подзаголовок"/>
                            <w:id w:val="16962284"/>
                            <w:placeholder>
                              <w:docPart w:val="B6CC9148AA2B453F860688799729169C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A307D0" w:rsidRDefault="00A307D0">
                              <w:pPr>
                                <w:pStyle w:val="ac"/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</w:rPr>
                                <w:t>Характеристика и материально-техническая база учреждений здравоохранения</w:t>
                              </w:r>
                            </w:p>
                          </w:sdtContent>
                        </w:sdt>
                        <w:p w:rsidR="00A307D0" w:rsidRDefault="00A307D0">
                          <w:pPr>
                            <w:pStyle w:val="ac"/>
                            <w:rPr>
                              <w:color w:val="FFFFFF" w:themeColor="background1"/>
                            </w:rPr>
                          </w:pPr>
                        </w:p>
                        <w:sdt>
                          <w:sdtPr>
                            <w:rPr>
                              <w:i/>
                              <w:sz w:val="24"/>
                              <w:szCs w:val="24"/>
                            </w:rPr>
                            <w:alias w:val="Аннотация"/>
                            <w:id w:val="16962290"/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A307D0" w:rsidRDefault="00A307D0">
                              <w:pPr>
                                <w:pStyle w:val="ac"/>
                                <w:rPr>
                                  <w:color w:val="FFFFFF" w:themeColor="background1"/>
                                </w:rPr>
                              </w:pPr>
                              <w:r w:rsidRPr="00A307D0">
                                <w:rPr>
                                  <w:i/>
                                  <w:sz w:val="24"/>
                                  <w:szCs w:val="24"/>
                                </w:rPr>
                                <w:t>В 2008 году начато внедрение рекомендаций ВОЗ «Профилактика туберкулеза в лечебно-профилактических учреждениях при дефиците необходимых ресурсов». Создана основа для реализации комплексного подхода и участия как медицинских, так и не медицинских структур в решении проблем профилактики профзаболеваемости туберкулезом.</w:t>
                              </w:r>
                            </w:p>
                          </w:sdtContent>
                        </w:sdt>
                        <w:p w:rsidR="00A307D0" w:rsidRDefault="00A307D0">
                          <w:pPr>
                            <w:pStyle w:val="ac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v:textbox>
                  </v:rect>
                  <v:group id="_x0000_s1097" style="position:absolute;left:321;top:3424;width:3125;height:6069" coordorigin="654,3599" coordsize="2880,5760">
                    <v:rect id="_x0000_s1098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99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100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101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102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103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104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104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alias w:val="Год"/>
                            <w:id w:val="16962274"/>
                            <w:placeholder>
                              <w:docPart w:val="99B3B7BADEE14E329C246E891932498A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09-07-27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A307D0" w:rsidRDefault="00CD3F7B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</w:rPr>
                                <w:t>2009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105" style="position:absolute;left:3446;top:13758;width:8169;height:1382" coordorigin="3446,13758" coordsize="8169,1382">
                  <v:group id="_x0000_s1106" style="position:absolute;left:10833;top:14380;width:782;height:760;flip:x y" coordorigin="8754,11945" coordsize="2880,2859">
                    <v:rect id="_x0000_s1107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108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109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110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110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Автор"/>
                            <w:id w:val="16962296"/>
                            <w:placeholder>
                              <w:docPart w:val="9C68C919EF6A4587920F17B16D52FAD6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A307D0" w:rsidRDefault="00A307D0">
                              <w:pPr>
                                <w:pStyle w:val="ac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епидотдел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Организация"/>
                            <w:id w:val="16962301"/>
                            <w:placeholder>
                              <w:docPart w:val="C7780A7DFF1E463F900A246E55DDC4BB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A307D0" w:rsidRDefault="00A307D0">
                              <w:pPr>
                                <w:pStyle w:val="ac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 xml:space="preserve">УЗ </w:t>
                              </w:r>
                              <w:r w:rsidR="002B52E1">
                                <w:rPr>
                                  <w:color w:val="FFFFFF" w:themeColor="background1"/>
                                </w:rPr>
                                <w:t>«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t>МЗЦГЭ</w:t>
                              </w:r>
                              <w:r w:rsidR="002B52E1">
                                <w:rPr>
                                  <w:color w:val="FFFFFF" w:themeColor="background1"/>
                                </w:rPr>
                                <w:t>»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16962306"/>
                            <w:placeholder>
                              <w:docPart w:val="3B1AA19C4A624D8A9FF9C8C4B0737A73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09-07-27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A307D0" w:rsidRDefault="00CD3F7B">
                              <w:pPr>
                                <w:pStyle w:val="ac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27.07.2009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A307D0" w:rsidRDefault="00A307D0">
          <w:pPr>
            <w:rPr>
              <w:sz w:val="24"/>
            </w:rPr>
          </w:pPr>
          <w:r>
            <w:rPr>
              <w:sz w:val="24"/>
            </w:rPr>
            <w:br w:type="page"/>
          </w:r>
        </w:p>
      </w:sdtContent>
    </w:sdt>
    <w:p w:rsidR="00740D2B" w:rsidRPr="0016050A" w:rsidRDefault="0016050A" w:rsidP="0016050A">
      <w:pPr>
        <w:pStyle w:val="2"/>
        <w:spacing w:line="240" w:lineRule="auto"/>
        <w:jc w:val="left"/>
        <w:rPr>
          <w:szCs w:val="28"/>
        </w:rPr>
      </w:pPr>
      <w:r w:rsidRPr="0016050A">
        <w:rPr>
          <w:szCs w:val="28"/>
        </w:rPr>
        <w:lastRenderedPageBreak/>
        <w:t>1.5.</w:t>
      </w:r>
      <w:r w:rsidR="008C3313">
        <w:rPr>
          <w:szCs w:val="28"/>
        </w:rPr>
        <w:t xml:space="preserve">   </w:t>
      </w:r>
      <w:r w:rsidR="00740D2B" w:rsidRPr="0016050A">
        <w:rPr>
          <w:szCs w:val="28"/>
        </w:rPr>
        <w:t>Характеристика и материально-техническая база организаций здравоохранения</w:t>
      </w:r>
    </w:p>
    <w:p w:rsidR="00740D2B" w:rsidRDefault="004F05B8" w:rsidP="004F05B8">
      <w:pPr>
        <w:pStyle w:val="a3"/>
        <w:jc w:val="left"/>
        <w:rPr>
          <w:sz w:val="24"/>
        </w:rPr>
      </w:pPr>
      <w:r>
        <w:rPr>
          <w:sz w:val="24"/>
        </w:rPr>
        <w:t>1.5.1. Тенденции обновления материально-технической базы лечпрофучреждений</w:t>
      </w:r>
    </w:p>
    <w:p w:rsidR="004F05B8" w:rsidRDefault="004F05B8" w:rsidP="004F05B8">
      <w:pPr>
        <w:pStyle w:val="a3"/>
        <w:jc w:val="left"/>
        <w:rPr>
          <w:sz w:val="24"/>
        </w:rPr>
      </w:pPr>
    </w:p>
    <w:p w:rsidR="00740D2B" w:rsidRDefault="00740D2B" w:rsidP="00740D2B">
      <w:pPr>
        <w:ind w:firstLine="540"/>
        <w:jc w:val="both"/>
        <w:rPr>
          <w:sz w:val="24"/>
        </w:rPr>
      </w:pPr>
      <w:r>
        <w:rPr>
          <w:sz w:val="24"/>
        </w:rPr>
        <w:t>Повышение  качества и доступности медицинской помощи населению является главной задачей системы здравоохранения города Могилева.</w:t>
      </w:r>
    </w:p>
    <w:p w:rsidR="00740D2B" w:rsidRDefault="00740D2B" w:rsidP="00740D2B">
      <w:pPr>
        <w:ind w:firstLine="540"/>
        <w:jc w:val="both"/>
        <w:rPr>
          <w:sz w:val="24"/>
        </w:rPr>
      </w:pPr>
      <w:r>
        <w:rPr>
          <w:sz w:val="24"/>
        </w:rPr>
        <w:t xml:space="preserve">В городе Могилеве функционирует 264 организации здравоохранения, в том числе 12 стационаров 21 поликлиника, 3 диспансера, 50 здравпунктов, 50 аптек, 122 организации здравоохранения негосударственной формы собственности. </w:t>
      </w:r>
    </w:p>
    <w:p w:rsidR="00740D2B" w:rsidRDefault="00740D2B" w:rsidP="00740D2B">
      <w:pPr>
        <w:ind w:firstLine="540"/>
        <w:jc w:val="both"/>
        <w:rPr>
          <w:sz w:val="24"/>
        </w:rPr>
      </w:pPr>
      <w:r>
        <w:rPr>
          <w:sz w:val="24"/>
        </w:rPr>
        <w:t xml:space="preserve">Одним из важнейших показателей качества оказания медицинской помощи населению является санитарно-гигиеническое состояние и эпидемическая надежность организаций здравоохранения. Улучшение материально-технической базы организаций здравоохранения (проведение капитальных ремонтов, модернизация учреждений, оснащение современным лечебно-диагностическим оборудованием, повышение  эффективности дезинфекционно-стерилизационных мероприятий, внедрение в практику использование стерильного белья, вспомогательного материала, бумажных полотенец одноразового использования; увеличение закупок перчаток медицинских и хирургических, хирургических масок) способствует увеличению удельного веса объектов 1 группы эпиднадежности и уменьшению удельного веса объектов </w:t>
      </w:r>
      <w:r w:rsidR="00620537">
        <w:rPr>
          <w:sz w:val="24"/>
          <w:lang w:val="en-US"/>
        </w:rPr>
        <w:t>II</w:t>
      </w:r>
      <w:r>
        <w:rPr>
          <w:sz w:val="24"/>
        </w:rPr>
        <w:t xml:space="preserve"> и Ш группы</w:t>
      </w:r>
      <w:r w:rsidR="0026279F">
        <w:rPr>
          <w:sz w:val="24"/>
        </w:rPr>
        <w:t xml:space="preserve"> </w:t>
      </w:r>
      <w:r w:rsidR="0016050A">
        <w:rPr>
          <w:sz w:val="24"/>
        </w:rPr>
        <w:t>(рис. 70)</w:t>
      </w:r>
      <w:r>
        <w:rPr>
          <w:sz w:val="24"/>
        </w:rPr>
        <w:t>.</w:t>
      </w:r>
    </w:p>
    <w:p w:rsidR="00740D2B" w:rsidRDefault="009B11F6" w:rsidP="00740D2B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981575" cy="2676525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40D2B" w:rsidRDefault="00740D2B" w:rsidP="00740D2B">
      <w:pPr>
        <w:jc w:val="both"/>
        <w:rPr>
          <w:sz w:val="24"/>
        </w:rPr>
      </w:pPr>
    </w:p>
    <w:p w:rsidR="00740D2B" w:rsidRDefault="00740D2B" w:rsidP="00740D2B">
      <w:pPr>
        <w:pStyle w:val="20"/>
        <w:rPr>
          <w:b/>
        </w:rPr>
      </w:pPr>
      <w:r>
        <w:rPr>
          <w:b/>
        </w:rPr>
        <w:t xml:space="preserve">                       </w:t>
      </w:r>
      <w:r w:rsidRPr="007642EC">
        <w:rPr>
          <w:b/>
        </w:rPr>
        <w:t>Рис.</w:t>
      </w:r>
      <w:r w:rsidR="0016050A">
        <w:rPr>
          <w:b/>
        </w:rPr>
        <w:t xml:space="preserve"> 70.</w:t>
      </w:r>
      <w:r w:rsidRPr="007642EC">
        <w:rPr>
          <w:b/>
        </w:rPr>
        <w:t xml:space="preserve">   Динамика санитарно-гигиенического состояния и эпидемической </w:t>
      </w:r>
    </w:p>
    <w:p w:rsidR="00740D2B" w:rsidRDefault="00740D2B" w:rsidP="00740D2B">
      <w:pPr>
        <w:pStyle w:val="20"/>
      </w:pPr>
      <w:r>
        <w:rPr>
          <w:b/>
        </w:rPr>
        <w:t xml:space="preserve">                              </w:t>
      </w:r>
      <w:r w:rsidR="0016050A">
        <w:rPr>
          <w:b/>
        </w:rPr>
        <w:t xml:space="preserve">   </w:t>
      </w:r>
      <w:r>
        <w:rPr>
          <w:b/>
        </w:rPr>
        <w:t xml:space="preserve">    </w:t>
      </w:r>
      <w:r w:rsidRPr="007642EC">
        <w:rPr>
          <w:b/>
        </w:rPr>
        <w:t>надежности организаций здравоохранения города Могилева за 2004-200</w:t>
      </w:r>
      <w:r>
        <w:rPr>
          <w:b/>
        </w:rPr>
        <w:t>гг</w:t>
      </w:r>
      <w:r>
        <w:t>.</w:t>
      </w:r>
    </w:p>
    <w:p w:rsidR="00740D2B" w:rsidRDefault="00740D2B" w:rsidP="00740D2B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394CB5" w:rsidRDefault="00740D2B" w:rsidP="00394CB5">
      <w:pPr>
        <w:jc w:val="both"/>
        <w:rPr>
          <w:sz w:val="24"/>
        </w:rPr>
      </w:pPr>
      <w:r>
        <w:rPr>
          <w:sz w:val="24"/>
        </w:rPr>
        <w:t xml:space="preserve">            </w:t>
      </w:r>
      <w:r w:rsidR="00394CB5">
        <w:rPr>
          <w:sz w:val="24"/>
        </w:rPr>
        <w:t xml:space="preserve">Парк стерилизующего оборудования в организациях здравоохранения составляет 325 единиц, из них паровых 138 единиц, воздушных  - 236, газовый – 1 стерилизатор.              </w:t>
      </w:r>
    </w:p>
    <w:p w:rsidR="00740D2B" w:rsidRDefault="00394CB5" w:rsidP="00740D2B">
      <w:pPr>
        <w:jc w:val="both"/>
        <w:rPr>
          <w:sz w:val="24"/>
        </w:rPr>
      </w:pPr>
      <w:r>
        <w:rPr>
          <w:sz w:val="24"/>
        </w:rPr>
        <w:t xml:space="preserve">          В 2008 году в организации здравоохранения закуплено 58 единиц стерилизационного оборудования, из ни</w:t>
      </w:r>
      <w:r w:rsidR="00620537">
        <w:rPr>
          <w:sz w:val="24"/>
        </w:rPr>
        <w:t>х</w:t>
      </w:r>
      <w:r>
        <w:rPr>
          <w:sz w:val="24"/>
        </w:rPr>
        <w:t xml:space="preserve"> 22  паровых и 36 воздушных стерилизаторов</w:t>
      </w:r>
      <w:r w:rsidR="008C3313">
        <w:rPr>
          <w:sz w:val="24"/>
        </w:rPr>
        <w:t xml:space="preserve"> (рис</w:t>
      </w:r>
      <w:r w:rsidR="00740D2B">
        <w:rPr>
          <w:sz w:val="24"/>
        </w:rPr>
        <w:t>.</w:t>
      </w:r>
      <w:r w:rsidR="008C3313">
        <w:rPr>
          <w:sz w:val="24"/>
        </w:rPr>
        <w:t xml:space="preserve"> 71).</w:t>
      </w:r>
    </w:p>
    <w:p w:rsidR="00740D2B" w:rsidRDefault="00740D2B" w:rsidP="00740D2B">
      <w:pPr>
        <w:jc w:val="both"/>
        <w:rPr>
          <w:sz w:val="24"/>
        </w:rPr>
      </w:pPr>
    </w:p>
    <w:p w:rsidR="00740D2B" w:rsidRDefault="00740D2B" w:rsidP="00740D2B">
      <w:pPr>
        <w:jc w:val="both"/>
        <w:rPr>
          <w:sz w:val="24"/>
        </w:rPr>
      </w:pPr>
    </w:p>
    <w:p w:rsidR="00740D2B" w:rsidRDefault="00B84415" w:rsidP="00740D2B">
      <w:pPr>
        <w:jc w:val="both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0" type="#_x0000_t202" style="position:absolute;left:0;text-align:left;margin-left:27pt;margin-top:9pt;width:6in;height:2in;z-index:251667456" stroked="f">
            <v:textbox style="mso-next-textbox:#_x0000_s1090">
              <w:txbxContent>
                <w:p w:rsidR="00740D2B" w:rsidRDefault="009B11F6" w:rsidP="00740D2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305050" cy="1609725"/>
                        <wp:effectExtent l="0" t="0" r="0" b="0"/>
                        <wp:docPr id="11" name="Объект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2124075" cy="1485900"/>
                        <wp:effectExtent l="0" t="0" r="0" b="0"/>
                        <wp:docPr id="12" name="Объект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40D2B" w:rsidRDefault="00740D2B" w:rsidP="00740D2B">
      <w:pPr>
        <w:jc w:val="both"/>
        <w:rPr>
          <w:sz w:val="24"/>
        </w:rPr>
      </w:pPr>
    </w:p>
    <w:p w:rsidR="00740D2B" w:rsidRDefault="00740D2B" w:rsidP="00740D2B">
      <w:pPr>
        <w:jc w:val="both"/>
        <w:rPr>
          <w:sz w:val="24"/>
        </w:rPr>
      </w:pPr>
    </w:p>
    <w:p w:rsidR="00740D2B" w:rsidRDefault="00740D2B" w:rsidP="00740D2B">
      <w:pPr>
        <w:jc w:val="both"/>
        <w:rPr>
          <w:sz w:val="24"/>
        </w:rPr>
      </w:pPr>
    </w:p>
    <w:p w:rsidR="008C3313" w:rsidRDefault="008C3313" w:rsidP="00740D2B">
      <w:pPr>
        <w:jc w:val="both"/>
        <w:rPr>
          <w:sz w:val="24"/>
        </w:rPr>
      </w:pPr>
    </w:p>
    <w:p w:rsidR="008C3313" w:rsidRDefault="008C3313" w:rsidP="00740D2B">
      <w:pPr>
        <w:jc w:val="both"/>
        <w:rPr>
          <w:sz w:val="24"/>
        </w:rPr>
      </w:pPr>
    </w:p>
    <w:p w:rsidR="008C3313" w:rsidRDefault="008C3313" w:rsidP="00740D2B">
      <w:pPr>
        <w:jc w:val="both"/>
        <w:rPr>
          <w:sz w:val="24"/>
        </w:rPr>
      </w:pPr>
    </w:p>
    <w:p w:rsidR="00740D2B" w:rsidRPr="007642EC" w:rsidRDefault="00740D2B" w:rsidP="00740D2B">
      <w:pPr>
        <w:pStyle w:val="20"/>
        <w:rPr>
          <w:b/>
        </w:rPr>
      </w:pPr>
      <w:r>
        <w:rPr>
          <w:b/>
        </w:rPr>
        <w:t xml:space="preserve">                       </w:t>
      </w:r>
      <w:r w:rsidRPr="007642EC">
        <w:rPr>
          <w:b/>
        </w:rPr>
        <w:t>Рис</w:t>
      </w:r>
      <w:r w:rsidR="008C3313">
        <w:rPr>
          <w:b/>
        </w:rPr>
        <w:t>. 71</w:t>
      </w:r>
      <w:r w:rsidRPr="007642EC">
        <w:rPr>
          <w:b/>
        </w:rPr>
        <w:t xml:space="preserve">. Динамика обновления парка стерилизационного оборудования  </w:t>
      </w:r>
      <w:r w:rsidR="00FB3D16">
        <w:rPr>
          <w:b/>
        </w:rPr>
        <w:t>в</w:t>
      </w:r>
      <w:r w:rsidRPr="007642EC">
        <w:rPr>
          <w:b/>
        </w:rPr>
        <w:t xml:space="preserve"> 2008</w:t>
      </w:r>
      <w:r w:rsidR="00FB3D16">
        <w:rPr>
          <w:b/>
        </w:rPr>
        <w:t>г</w:t>
      </w:r>
      <w:r w:rsidR="008C3313">
        <w:rPr>
          <w:b/>
        </w:rPr>
        <w:t>.</w:t>
      </w:r>
      <w:r w:rsidRPr="007642EC">
        <w:rPr>
          <w:b/>
        </w:rPr>
        <w:t xml:space="preserve"> </w:t>
      </w:r>
    </w:p>
    <w:p w:rsidR="00740D2B" w:rsidRDefault="00740D2B" w:rsidP="00740D2B">
      <w:pPr>
        <w:pStyle w:val="20"/>
      </w:pPr>
    </w:p>
    <w:p w:rsidR="00740D2B" w:rsidRDefault="00394CB5" w:rsidP="00394CB5">
      <w:pPr>
        <w:ind w:firstLine="540"/>
        <w:jc w:val="both"/>
        <w:rPr>
          <w:sz w:val="24"/>
        </w:rPr>
      </w:pPr>
      <w:r w:rsidRPr="00394CB5">
        <w:rPr>
          <w:sz w:val="24"/>
        </w:rPr>
        <w:t>Вывод:</w:t>
      </w:r>
      <w:r>
        <w:rPr>
          <w:sz w:val="24"/>
        </w:rPr>
        <w:t xml:space="preserve"> </w:t>
      </w:r>
      <w:r w:rsidRPr="00394CB5">
        <w:rPr>
          <w:sz w:val="24"/>
        </w:rPr>
        <w:t>В 2008 году значительно улучшилась материально-техническая база, повысился уровень эпиднадежности организаций здравоохранения, в результате чего созданы более комфортные и безопасные условия пребывания пациентов и труда медперсонала в организациях здравоохранения.</w:t>
      </w:r>
    </w:p>
    <w:p w:rsidR="004F05B8" w:rsidRDefault="004F05B8" w:rsidP="00394CB5">
      <w:pPr>
        <w:ind w:firstLine="540"/>
        <w:jc w:val="both"/>
        <w:rPr>
          <w:sz w:val="24"/>
        </w:rPr>
      </w:pPr>
    </w:p>
    <w:p w:rsidR="004F05B8" w:rsidRPr="004F05B8" w:rsidRDefault="004F05B8" w:rsidP="004F05B8">
      <w:pPr>
        <w:pStyle w:val="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1.5.2</w:t>
      </w:r>
      <w:r w:rsidR="00B12A3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4F05B8">
        <w:rPr>
          <w:b/>
          <w:sz w:val="24"/>
          <w:szCs w:val="24"/>
        </w:rPr>
        <w:t>Состояние  профзаболеваемости туберкулезом среди медперсонала  противотуберкулезного диспансера.</w:t>
      </w:r>
    </w:p>
    <w:p w:rsidR="004F05B8" w:rsidRDefault="004F05B8" w:rsidP="00394CB5">
      <w:pPr>
        <w:ind w:firstLine="540"/>
        <w:jc w:val="both"/>
        <w:rPr>
          <w:sz w:val="24"/>
        </w:rPr>
      </w:pPr>
    </w:p>
    <w:p w:rsidR="00B12A38" w:rsidRPr="00394CB5" w:rsidRDefault="00B12A38" w:rsidP="00394CB5">
      <w:pPr>
        <w:ind w:firstLine="540"/>
        <w:jc w:val="both"/>
        <w:rPr>
          <w:sz w:val="24"/>
        </w:rPr>
      </w:pPr>
      <w:r>
        <w:rPr>
          <w:sz w:val="24"/>
        </w:rPr>
        <w:t>В 2008г. из 10-ти заболеваний туберкулезом, в 5-ти подтвержден профессиональный характер, которые зарегистрированы в облтубдиспансере.</w:t>
      </w:r>
    </w:p>
    <w:p w:rsidR="004F05B8" w:rsidRDefault="004F05B8" w:rsidP="004F05B8">
      <w:pPr>
        <w:ind w:firstLine="540"/>
        <w:jc w:val="both"/>
        <w:rPr>
          <w:sz w:val="24"/>
        </w:rPr>
      </w:pPr>
      <w:r>
        <w:rPr>
          <w:sz w:val="24"/>
        </w:rPr>
        <w:t>За период с 2004 по 2008 годы уровень профессиональной заболеваемости среди медицинских работников облтубдиспансера в сравнении с профзаболеваемостью медицинских работников города стабилизировался и составил в 2008 году 0,4 на 1000 работающих</w:t>
      </w:r>
      <w:r w:rsidR="00B12A38">
        <w:rPr>
          <w:sz w:val="24"/>
        </w:rPr>
        <w:t xml:space="preserve"> (рис. </w:t>
      </w:r>
      <w:r w:rsidR="001859FA">
        <w:rPr>
          <w:sz w:val="24"/>
        </w:rPr>
        <w:t>7</w:t>
      </w:r>
      <w:r w:rsidR="001859FA" w:rsidRPr="00D6265E">
        <w:rPr>
          <w:sz w:val="24"/>
        </w:rPr>
        <w:t>2</w:t>
      </w:r>
      <w:r w:rsidR="00B12A38">
        <w:rPr>
          <w:sz w:val="24"/>
        </w:rPr>
        <w:t>)</w:t>
      </w:r>
      <w:r>
        <w:rPr>
          <w:sz w:val="24"/>
        </w:rPr>
        <w:t xml:space="preserve">. </w:t>
      </w:r>
    </w:p>
    <w:p w:rsidR="00B12A38" w:rsidRDefault="009B11F6" w:rsidP="00B12A38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676775" cy="2390775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12A38" w:rsidRDefault="00B12A38" w:rsidP="00B12A38">
      <w:pPr>
        <w:jc w:val="both"/>
        <w:rPr>
          <w:sz w:val="24"/>
        </w:rPr>
      </w:pPr>
    </w:p>
    <w:p w:rsidR="00B12A38" w:rsidRDefault="00B12A38" w:rsidP="00B12A38">
      <w:pPr>
        <w:jc w:val="both"/>
        <w:rPr>
          <w:sz w:val="24"/>
        </w:rPr>
      </w:pPr>
    </w:p>
    <w:p w:rsidR="00B12A38" w:rsidRDefault="00B12A38" w:rsidP="00B12A38">
      <w:pPr>
        <w:pStyle w:val="20"/>
        <w:rPr>
          <w:b/>
        </w:rPr>
      </w:pPr>
      <w:r>
        <w:rPr>
          <w:b/>
        </w:rPr>
        <w:t xml:space="preserve">                               </w:t>
      </w:r>
      <w:r w:rsidRPr="007642EC">
        <w:rPr>
          <w:b/>
        </w:rPr>
        <w:t>Рис.</w:t>
      </w:r>
      <w:r w:rsidR="001859FA">
        <w:rPr>
          <w:b/>
        </w:rPr>
        <w:t xml:space="preserve"> 7</w:t>
      </w:r>
      <w:r w:rsidR="001859FA">
        <w:rPr>
          <w:b/>
          <w:lang w:val="en-US"/>
        </w:rPr>
        <w:t>2</w:t>
      </w:r>
      <w:r>
        <w:rPr>
          <w:b/>
        </w:rPr>
        <w:t xml:space="preserve">. </w:t>
      </w:r>
      <w:r w:rsidRPr="007642EC">
        <w:rPr>
          <w:b/>
        </w:rPr>
        <w:t>Динамика</w:t>
      </w:r>
      <w:r>
        <w:rPr>
          <w:b/>
        </w:rPr>
        <w:t xml:space="preserve"> проф</w:t>
      </w:r>
      <w:r w:rsidRPr="007642EC">
        <w:rPr>
          <w:b/>
        </w:rPr>
        <w:t>заболеваемости</w:t>
      </w:r>
      <w:r>
        <w:rPr>
          <w:b/>
        </w:rPr>
        <w:t xml:space="preserve"> (туберкулезом) </w:t>
      </w:r>
      <w:r w:rsidRPr="007642EC">
        <w:rPr>
          <w:b/>
        </w:rPr>
        <w:t>«обязательных контингентов</w:t>
      </w:r>
      <w:r>
        <w:rPr>
          <w:b/>
        </w:rPr>
        <w:t>»,</w:t>
      </w:r>
      <w:r w:rsidRPr="007642EC">
        <w:rPr>
          <w:b/>
        </w:rPr>
        <w:t xml:space="preserve"> </w:t>
      </w:r>
    </w:p>
    <w:p w:rsidR="00B12A38" w:rsidRDefault="00B12A38" w:rsidP="00B12A38">
      <w:pPr>
        <w:pStyle w:val="20"/>
      </w:pPr>
      <w:r>
        <w:rPr>
          <w:b/>
        </w:rPr>
        <w:t xml:space="preserve">                                             </w:t>
      </w:r>
      <w:r w:rsidRPr="007642EC">
        <w:rPr>
          <w:b/>
        </w:rPr>
        <w:t>в том числе медработников за 2004-2008</w:t>
      </w:r>
      <w:r>
        <w:rPr>
          <w:b/>
        </w:rPr>
        <w:t>гг.</w:t>
      </w:r>
    </w:p>
    <w:p w:rsidR="00B12A38" w:rsidRDefault="00B12A38" w:rsidP="004F05B8">
      <w:pPr>
        <w:ind w:firstLine="540"/>
        <w:jc w:val="both"/>
        <w:rPr>
          <w:sz w:val="24"/>
        </w:rPr>
      </w:pPr>
    </w:p>
    <w:p w:rsidR="004F05B8" w:rsidRDefault="004F05B8" w:rsidP="004F05B8">
      <w:pPr>
        <w:jc w:val="both"/>
        <w:rPr>
          <w:sz w:val="24"/>
        </w:rPr>
      </w:pPr>
      <w:r>
        <w:rPr>
          <w:sz w:val="24"/>
        </w:rPr>
        <w:t xml:space="preserve">           В Могилевском областном противотуберкулезном диспансере в соответствии с методическими рекомендациями ВОЗ «Профилактика туберкулеза в лечебно-профилактических учреждениях при дефиците необходимых ресурсов» выделены три уровня инфекционного контроля:</w:t>
      </w:r>
    </w:p>
    <w:p w:rsidR="004F05B8" w:rsidRDefault="004F05B8" w:rsidP="004F05B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административный контроль по выполнению плана инфекционного контроля по снижению риска распространения туберкулезной инфекции среди персонала и пациентов;</w:t>
      </w:r>
    </w:p>
    <w:p w:rsidR="004F05B8" w:rsidRDefault="004F05B8" w:rsidP="004F05B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контроль за состоянием окружающей среды посредством мониторинга антибиотикорезистентности штаммов микроорганизмов, циркулирующих в отделениях учреждения для рациональной антибиотикотерапии и определения чувствительности к применяемым дезинфектантам;</w:t>
      </w:r>
    </w:p>
    <w:p w:rsidR="004F05B8" w:rsidRDefault="004F05B8" w:rsidP="004F05B8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контроль за мерами по охране здоровья персонала от воздействия аэрогенной инфекции за счет организации условий для соблюдения личной гигиены, использования средств индивидуальной защиты органов дыхания.</w:t>
      </w:r>
    </w:p>
    <w:p w:rsidR="004F05B8" w:rsidRDefault="004F05B8" w:rsidP="004F05B8">
      <w:pPr>
        <w:jc w:val="both"/>
        <w:rPr>
          <w:sz w:val="24"/>
        </w:rPr>
      </w:pPr>
      <w:r>
        <w:rPr>
          <w:sz w:val="24"/>
        </w:rPr>
        <w:t xml:space="preserve">            В противотуберкулезном диспансере города Могилева внедрена в практику рекомендуемая ВОЗ стратегия борьбы с туберкулезом, а именно лечение под непосредственным контролем со стороны персонала за приемом лекарств, что в какой-то мере объясняет рост профзаболеваний туберкулезом в 2008 году среди медперсонала, обеспечивающего уход за заразными больными в условиях недостатка фильтрующих масок, </w:t>
      </w:r>
      <w:r>
        <w:rPr>
          <w:sz w:val="24"/>
        </w:rPr>
        <w:lastRenderedPageBreak/>
        <w:t>обеспечивающих задержку аэрозольных частиц 5мкм и более, подогнанных по форме лица, и респираторов. Имеющиеся в достаточном количестве для медработников и больных туберкулезом хирургические маски предотвращают распространение микроорганизмов, но не обеспечивают должной защиты пользователей.</w:t>
      </w:r>
    </w:p>
    <w:p w:rsidR="00740D2B" w:rsidRDefault="00740D2B" w:rsidP="00740D2B">
      <w:pPr>
        <w:jc w:val="both"/>
        <w:rPr>
          <w:sz w:val="24"/>
        </w:rPr>
      </w:pPr>
    </w:p>
    <w:p w:rsidR="00740D2B" w:rsidRDefault="00740D2B" w:rsidP="00740D2B">
      <w:pPr>
        <w:pStyle w:val="20"/>
      </w:pPr>
    </w:p>
    <w:p w:rsidR="00740D2B" w:rsidRPr="007642EC" w:rsidRDefault="00740D2B" w:rsidP="00740D2B">
      <w:pPr>
        <w:pStyle w:val="20"/>
        <w:ind w:firstLine="540"/>
        <w:rPr>
          <w:i/>
          <w:sz w:val="24"/>
          <w:szCs w:val="24"/>
        </w:rPr>
      </w:pPr>
      <w:r w:rsidRPr="007642EC">
        <w:rPr>
          <w:i/>
          <w:sz w:val="24"/>
          <w:szCs w:val="24"/>
        </w:rPr>
        <w:t>Вывод: В 2008 году начато внедрение рекомендаций ВОЗ «Профилактика туберкулеза в лечебно-профилактических учреждениях при дефиците необходимых ресурсов». Создана основа для реализации комплексного подхода и участия как медицинских, так и не медицинских структур в решении проблем профилактики профзаболеваемости туберкулезом.</w:t>
      </w:r>
    </w:p>
    <w:p w:rsidR="005D51E4" w:rsidRPr="005D51E4" w:rsidRDefault="005D51E4" w:rsidP="005D51E4">
      <w:pPr>
        <w:ind w:left="-540" w:right="-753" w:firstLine="709"/>
        <w:outlineLvl w:val="0"/>
        <w:rPr>
          <w:sz w:val="24"/>
          <w:szCs w:val="24"/>
        </w:rPr>
      </w:pPr>
    </w:p>
    <w:p w:rsidR="005D51E4" w:rsidRPr="005D51E4" w:rsidRDefault="005D51E4" w:rsidP="005D51E4">
      <w:pPr>
        <w:pStyle w:val="210"/>
        <w:rPr>
          <w:sz w:val="24"/>
          <w:szCs w:val="24"/>
        </w:rPr>
      </w:pPr>
      <w:r w:rsidRPr="005D51E4">
        <w:rPr>
          <w:sz w:val="24"/>
          <w:szCs w:val="24"/>
        </w:rPr>
        <w:t>.</w:t>
      </w:r>
    </w:p>
    <w:p w:rsidR="005D51E4" w:rsidRPr="005D51E4" w:rsidRDefault="005D51E4" w:rsidP="005D51E4">
      <w:pPr>
        <w:ind w:right="-568" w:firstLine="709"/>
        <w:jc w:val="both"/>
        <w:rPr>
          <w:sz w:val="24"/>
          <w:szCs w:val="24"/>
        </w:rPr>
      </w:pPr>
    </w:p>
    <w:p w:rsidR="005D51E4" w:rsidRPr="005D51E4" w:rsidRDefault="005D51E4" w:rsidP="005D51E4">
      <w:pPr>
        <w:ind w:right="-568" w:firstLine="709"/>
        <w:jc w:val="both"/>
        <w:rPr>
          <w:sz w:val="24"/>
          <w:szCs w:val="24"/>
        </w:rPr>
      </w:pPr>
    </w:p>
    <w:p w:rsidR="005D51E4" w:rsidRPr="005D51E4" w:rsidRDefault="005D51E4" w:rsidP="005D51E4">
      <w:pPr>
        <w:ind w:right="-568" w:firstLine="709"/>
        <w:jc w:val="both"/>
        <w:rPr>
          <w:sz w:val="24"/>
          <w:szCs w:val="24"/>
        </w:rPr>
      </w:pPr>
    </w:p>
    <w:p w:rsidR="005D51E4" w:rsidRPr="005D51E4" w:rsidRDefault="005D51E4" w:rsidP="005D51E4">
      <w:pPr>
        <w:rPr>
          <w:sz w:val="24"/>
          <w:szCs w:val="24"/>
        </w:rPr>
      </w:pPr>
    </w:p>
    <w:p w:rsidR="005D51E4" w:rsidRPr="005D51E4" w:rsidRDefault="005D51E4" w:rsidP="005D51E4">
      <w:pPr>
        <w:rPr>
          <w:sz w:val="24"/>
          <w:szCs w:val="24"/>
        </w:rPr>
      </w:pPr>
    </w:p>
    <w:p w:rsidR="005D51E4" w:rsidRPr="005D51E4" w:rsidRDefault="005D51E4" w:rsidP="005D51E4">
      <w:pPr>
        <w:rPr>
          <w:sz w:val="24"/>
          <w:szCs w:val="24"/>
        </w:rPr>
      </w:pPr>
    </w:p>
    <w:p w:rsidR="005D51E4" w:rsidRPr="005D51E4" w:rsidRDefault="005D51E4" w:rsidP="005D51E4">
      <w:pPr>
        <w:rPr>
          <w:sz w:val="24"/>
          <w:szCs w:val="24"/>
        </w:rPr>
      </w:pPr>
    </w:p>
    <w:p w:rsidR="005D51E4" w:rsidRPr="005D51E4" w:rsidRDefault="005D51E4" w:rsidP="00766BB3">
      <w:pPr>
        <w:jc w:val="both"/>
        <w:rPr>
          <w:b/>
          <w:sz w:val="24"/>
          <w:szCs w:val="24"/>
        </w:rPr>
      </w:pPr>
    </w:p>
    <w:p w:rsidR="0062506C" w:rsidRPr="00394CB5" w:rsidRDefault="0062506C" w:rsidP="001F22F9">
      <w:pPr>
        <w:ind w:left="851" w:hanging="567"/>
        <w:jc w:val="both"/>
        <w:rPr>
          <w:b/>
          <w:sz w:val="24"/>
          <w:szCs w:val="24"/>
        </w:rPr>
      </w:pPr>
    </w:p>
    <w:p w:rsidR="00766BB3" w:rsidRPr="00394CB5" w:rsidRDefault="00766BB3" w:rsidP="001F22F9">
      <w:pPr>
        <w:ind w:left="851" w:hanging="567"/>
        <w:jc w:val="both"/>
        <w:rPr>
          <w:b/>
          <w:sz w:val="24"/>
          <w:szCs w:val="24"/>
        </w:rPr>
      </w:pPr>
    </w:p>
    <w:p w:rsidR="0062506C" w:rsidRPr="00394CB5" w:rsidRDefault="0062506C" w:rsidP="001F22F9">
      <w:pPr>
        <w:ind w:left="851" w:hanging="567"/>
        <w:jc w:val="both"/>
        <w:rPr>
          <w:b/>
          <w:sz w:val="24"/>
          <w:szCs w:val="24"/>
        </w:rPr>
      </w:pPr>
    </w:p>
    <w:p w:rsidR="0062506C" w:rsidRPr="00394CB5" w:rsidRDefault="0062506C" w:rsidP="001F22F9">
      <w:pPr>
        <w:ind w:left="851" w:hanging="567"/>
        <w:jc w:val="both"/>
        <w:rPr>
          <w:b/>
          <w:sz w:val="24"/>
          <w:szCs w:val="24"/>
        </w:rPr>
      </w:pPr>
    </w:p>
    <w:p w:rsidR="0062506C" w:rsidRPr="00394CB5" w:rsidRDefault="0062506C" w:rsidP="001F22F9">
      <w:pPr>
        <w:ind w:left="851" w:hanging="567"/>
        <w:jc w:val="both"/>
        <w:rPr>
          <w:b/>
          <w:sz w:val="24"/>
          <w:szCs w:val="24"/>
        </w:rPr>
      </w:pPr>
    </w:p>
    <w:p w:rsidR="0062506C" w:rsidRPr="00394CB5" w:rsidRDefault="0062506C" w:rsidP="0062506C">
      <w:pPr>
        <w:ind w:left="851" w:hanging="567"/>
        <w:jc w:val="both"/>
        <w:rPr>
          <w:b/>
          <w:bCs/>
          <w:sz w:val="24"/>
          <w:szCs w:val="24"/>
        </w:rPr>
      </w:pPr>
    </w:p>
    <w:p w:rsidR="0062506C" w:rsidRPr="00394CB5" w:rsidRDefault="0062506C" w:rsidP="0062506C">
      <w:pPr>
        <w:ind w:left="851" w:hanging="567"/>
        <w:jc w:val="both"/>
        <w:rPr>
          <w:b/>
          <w:sz w:val="24"/>
          <w:szCs w:val="24"/>
        </w:rPr>
      </w:pPr>
    </w:p>
    <w:p w:rsidR="0062506C" w:rsidRPr="00394CB5" w:rsidRDefault="0075139D" w:rsidP="0062506C">
      <w:pPr>
        <w:ind w:left="851" w:hanging="567"/>
        <w:jc w:val="both"/>
        <w:rPr>
          <w:b/>
          <w:sz w:val="24"/>
          <w:szCs w:val="24"/>
        </w:rPr>
      </w:pPr>
      <w:r w:rsidRPr="00394CB5">
        <w:rPr>
          <w:b/>
          <w:sz w:val="24"/>
          <w:szCs w:val="24"/>
        </w:rPr>
        <w:t xml:space="preserve"> </w:t>
      </w:r>
    </w:p>
    <w:p w:rsidR="0062506C" w:rsidRPr="00394CB5" w:rsidRDefault="0062506C" w:rsidP="0062506C">
      <w:pPr>
        <w:ind w:left="851" w:hanging="567"/>
        <w:jc w:val="both"/>
        <w:rPr>
          <w:b/>
          <w:sz w:val="24"/>
          <w:szCs w:val="24"/>
        </w:rPr>
      </w:pPr>
    </w:p>
    <w:p w:rsidR="0062506C" w:rsidRPr="00394CB5" w:rsidRDefault="0062506C" w:rsidP="0062506C">
      <w:pPr>
        <w:ind w:left="851" w:hanging="567"/>
        <w:jc w:val="both"/>
        <w:rPr>
          <w:b/>
          <w:sz w:val="24"/>
          <w:szCs w:val="24"/>
        </w:rPr>
      </w:pPr>
    </w:p>
    <w:sectPr w:rsidR="0062506C" w:rsidRPr="00394CB5" w:rsidSect="00A307D0">
      <w:headerReference w:type="even" r:id="rId14"/>
      <w:pgSz w:w="11906" w:h="16838"/>
      <w:pgMar w:top="1134" w:right="567" w:bottom="1134" w:left="1701" w:header="709" w:footer="709" w:gutter="0"/>
      <w:pgNumType w:start="3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DF1" w:rsidRDefault="00A14DF1">
      <w:r>
        <w:separator/>
      </w:r>
    </w:p>
  </w:endnote>
  <w:endnote w:type="continuationSeparator" w:id="1">
    <w:p w:rsidR="00A14DF1" w:rsidRDefault="00A14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DF1" w:rsidRDefault="00A14DF1">
      <w:r>
        <w:separator/>
      </w:r>
    </w:p>
  </w:footnote>
  <w:footnote w:type="continuationSeparator" w:id="1">
    <w:p w:rsidR="00A14DF1" w:rsidRDefault="00A14D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44C" w:rsidRDefault="00B84415" w:rsidP="00A8609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F444C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F444C" w:rsidRDefault="00AF444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5CB1"/>
    <w:multiLevelType w:val="singleLevel"/>
    <w:tmpl w:val="77DC94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22F9"/>
    <w:rsid w:val="0000131A"/>
    <w:rsid w:val="000105B7"/>
    <w:rsid w:val="00041205"/>
    <w:rsid w:val="00042A68"/>
    <w:rsid w:val="000529B3"/>
    <w:rsid w:val="000644EA"/>
    <w:rsid w:val="00065A04"/>
    <w:rsid w:val="00086858"/>
    <w:rsid w:val="00094A08"/>
    <w:rsid w:val="000C33B0"/>
    <w:rsid w:val="000E3AC8"/>
    <w:rsid w:val="00107B93"/>
    <w:rsid w:val="0016050A"/>
    <w:rsid w:val="001701B5"/>
    <w:rsid w:val="00180451"/>
    <w:rsid w:val="001859FA"/>
    <w:rsid w:val="00190499"/>
    <w:rsid w:val="001E2994"/>
    <w:rsid w:val="001E5BC2"/>
    <w:rsid w:val="001F22F9"/>
    <w:rsid w:val="002120D5"/>
    <w:rsid w:val="002122F4"/>
    <w:rsid w:val="00245A0C"/>
    <w:rsid w:val="00247649"/>
    <w:rsid w:val="00253B84"/>
    <w:rsid w:val="0026279F"/>
    <w:rsid w:val="00276250"/>
    <w:rsid w:val="00280459"/>
    <w:rsid w:val="002876EC"/>
    <w:rsid w:val="002A2BCB"/>
    <w:rsid w:val="002A6AE6"/>
    <w:rsid w:val="002A7808"/>
    <w:rsid w:val="002B52E1"/>
    <w:rsid w:val="002D2B9A"/>
    <w:rsid w:val="002E3834"/>
    <w:rsid w:val="002E436C"/>
    <w:rsid w:val="002E6D43"/>
    <w:rsid w:val="003063D6"/>
    <w:rsid w:val="003169D2"/>
    <w:rsid w:val="003177E9"/>
    <w:rsid w:val="00377605"/>
    <w:rsid w:val="00394CB5"/>
    <w:rsid w:val="003A7F23"/>
    <w:rsid w:val="003B6D45"/>
    <w:rsid w:val="003D2AF2"/>
    <w:rsid w:val="003F762C"/>
    <w:rsid w:val="0043553E"/>
    <w:rsid w:val="00455F6C"/>
    <w:rsid w:val="004A09B7"/>
    <w:rsid w:val="004A3600"/>
    <w:rsid w:val="004A56EE"/>
    <w:rsid w:val="004B7BAF"/>
    <w:rsid w:val="004F05B8"/>
    <w:rsid w:val="005154BA"/>
    <w:rsid w:val="005371C2"/>
    <w:rsid w:val="0053772A"/>
    <w:rsid w:val="0058336E"/>
    <w:rsid w:val="005A4269"/>
    <w:rsid w:val="005C567F"/>
    <w:rsid w:val="005D2F02"/>
    <w:rsid w:val="005D51E4"/>
    <w:rsid w:val="005D5865"/>
    <w:rsid w:val="00612803"/>
    <w:rsid w:val="00613C08"/>
    <w:rsid w:val="00620537"/>
    <w:rsid w:val="0062506C"/>
    <w:rsid w:val="00625DDA"/>
    <w:rsid w:val="00665959"/>
    <w:rsid w:val="006902A2"/>
    <w:rsid w:val="006C0A7A"/>
    <w:rsid w:val="006D04E0"/>
    <w:rsid w:val="006D1840"/>
    <w:rsid w:val="00712774"/>
    <w:rsid w:val="00740D2B"/>
    <w:rsid w:val="007463B8"/>
    <w:rsid w:val="0075139D"/>
    <w:rsid w:val="007527BE"/>
    <w:rsid w:val="00766BB3"/>
    <w:rsid w:val="00781BB0"/>
    <w:rsid w:val="00785F30"/>
    <w:rsid w:val="007A1E85"/>
    <w:rsid w:val="007A3B18"/>
    <w:rsid w:val="00800621"/>
    <w:rsid w:val="00836EE9"/>
    <w:rsid w:val="008421D4"/>
    <w:rsid w:val="00851594"/>
    <w:rsid w:val="008841CF"/>
    <w:rsid w:val="008A6D87"/>
    <w:rsid w:val="008C3313"/>
    <w:rsid w:val="008E033E"/>
    <w:rsid w:val="008E1D73"/>
    <w:rsid w:val="008E2380"/>
    <w:rsid w:val="008E5CFB"/>
    <w:rsid w:val="00907EB4"/>
    <w:rsid w:val="00910134"/>
    <w:rsid w:val="00921ED2"/>
    <w:rsid w:val="0095388C"/>
    <w:rsid w:val="009968C8"/>
    <w:rsid w:val="009B11F6"/>
    <w:rsid w:val="009B7E66"/>
    <w:rsid w:val="009B7E90"/>
    <w:rsid w:val="009C67AA"/>
    <w:rsid w:val="009D02C3"/>
    <w:rsid w:val="009F5C5A"/>
    <w:rsid w:val="00A07554"/>
    <w:rsid w:val="00A14DF1"/>
    <w:rsid w:val="00A26E6F"/>
    <w:rsid w:val="00A307D0"/>
    <w:rsid w:val="00A33886"/>
    <w:rsid w:val="00A54A4D"/>
    <w:rsid w:val="00A750D1"/>
    <w:rsid w:val="00A86098"/>
    <w:rsid w:val="00A96748"/>
    <w:rsid w:val="00AA7E98"/>
    <w:rsid w:val="00AC1E66"/>
    <w:rsid w:val="00AC3875"/>
    <w:rsid w:val="00AC5FA5"/>
    <w:rsid w:val="00AD5121"/>
    <w:rsid w:val="00AF444C"/>
    <w:rsid w:val="00B12A38"/>
    <w:rsid w:val="00B26E77"/>
    <w:rsid w:val="00B577A0"/>
    <w:rsid w:val="00B659DF"/>
    <w:rsid w:val="00B84415"/>
    <w:rsid w:val="00BE6883"/>
    <w:rsid w:val="00C03F78"/>
    <w:rsid w:val="00C32D83"/>
    <w:rsid w:val="00C44863"/>
    <w:rsid w:val="00C62EFC"/>
    <w:rsid w:val="00C800DF"/>
    <w:rsid w:val="00CB4988"/>
    <w:rsid w:val="00CC5B26"/>
    <w:rsid w:val="00CD3F7B"/>
    <w:rsid w:val="00CF1F9A"/>
    <w:rsid w:val="00D00F02"/>
    <w:rsid w:val="00D15BF5"/>
    <w:rsid w:val="00D26B59"/>
    <w:rsid w:val="00D33EBD"/>
    <w:rsid w:val="00D5185F"/>
    <w:rsid w:val="00D6265E"/>
    <w:rsid w:val="00D80C17"/>
    <w:rsid w:val="00D84B86"/>
    <w:rsid w:val="00DB454C"/>
    <w:rsid w:val="00DC64B4"/>
    <w:rsid w:val="00DF7C7D"/>
    <w:rsid w:val="00E817D2"/>
    <w:rsid w:val="00EA4E92"/>
    <w:rsid w:val="00F025CE"/>
    <w:rsid w:val="00F0782E"/>
    <w:rsid w:val="00F30472"/>
    <w:rsid w:val="00F334FD"/>
    <w:rsid w:val="00F5547F"/>
    <w:rsid w:val="00F55691"/>
    <w:rsid w:val="00F60221"/>
    <w:rsid w:val="00F74820"/>
    <w:rsid w:val="00F96917"/>
    <w:rsid w:val="00FB10D7"/>
    <w:rsid w:val="00FB3D16"/>
    <w:rsid w:val="00FB4CB8"/>
    <w:rsid w:val="00FF3C42"/>
    <w:rsid w:val="00FF6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2F9"/>
  </w:style>
  <w:style w:type="paragraph" w:styleId="2">
    <w:name w:val="heading 2"/>
    <w:basedOn w:val="a"/>
    <w:next w:val="a"/>
    <w:qFormat/>
    <w:rsid w:val="001F22F9"/>
    <w:pPr>
      <w:keepNext/>
      <w:spacing w:line="360" w:lineRule="auto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22F9"/>
    <w:pPr>
      <w:jc w:val="both"/>
    </w:pPr>
    <w:rPr>
      <w:b/>
      <w:sz w:val="16"/>
    </w:rPr>
  </w:style>
  <w:style w:type="paragraph" w:styleId="20">
    <w:name w:val="Body Text 2"/>
    <w:basedOn w:val="a"/>
    <w:link w:val="21"/>
    <w:rsid w:val="001F22F9"/>
    <w:pPr>
      <w:jc w:val="both"/>
    </w:pPr>
  </w:style>
  <w:style w:type="paragraph" w:styleId="22">
    <w:name w:val="Body Text Indent 2"/>
    <w:basedOn w:val="a"/>
    <w:rsid w:val="001F22F9"/>
    <w:pPr>
      <w:ind w:firstLine="426"/>
      <w:jc w:val="both"/>
    </w:pPr>
  </w:style>
  <w:style w:type="paragraph" w:styleId="a4">
    <w:name w:val="Plain Text"/>
    <w:basedOn w:val="a"/>
    <w:rsid w:val="001F22F9"/>
    <w:rPr>
      <w:rFonts w:ascii="Courier New" w:hAnsi="Courier New"/>
    </w:rPr>
  </w:style>
  <w:style w:type="paragraph" w:styleId="3">
    <w:name w:val="Body Text Indent 3"/>
    <w:basedOn w:val="a"/>
    <w:rsid w:val="001F22F9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CC5B26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D51E4"/>
    <w:pPr>
      <w:ind w:left="-567" w:right="-766" w:firstLine="720"/>
      <w:jc w:val="both"/>
    </w:pPr>
    <w:rPr>
      <w:sz w:val="28"/>
    </w:rPr>
  </w:style>
  <w:style w:type="paragraph" w:customStyle="1" w:styleId="210">
    <w:name w:val="Основной текст 21"/>
    <w:basedOn w:val="a"/>
    <w:rsid w:val="005D51E4"/>
    <w:pPr>
      <w:ind w:firstLine="709"/>
      <w:jc w:val="both"/>
    </w:pPr>
    <w:rPr>
      <w:sz w:val="28"/>
      <w:lang w:eastAsia="zh-CN"/>
    </w:rPr>
  </w:style>
  <w:style w:type="paragraph" w:styleId="a6">
    <w:name w:val="Body Text Indent"/>
    <w:basedOn w:val="a"/>
    <w:rsid w:val="005D51E4"/>
    <w:pPr>
      <w:spacing w:after="120"/>
      <w:ind w:left="283"/>
    </w:pPr>
  </w:style>
  <w:style w:type="paragraph" w:styleId="a7">
    <w:name w:val="Normal (Web)"/>
    <w:basedOn w:val="a"/>
    <w:uiPriority w:val="99"/>
    <w:unhideWhenUsed/>
    <w:rsid w:val="00A750D1"/>
    <w:pPr>
      <w:spacing w:before="100" w:beforeAutospacing="1" w:after="100" w:afterAutospacing="1"/>
    </w:pPr>
    <w:rPr>
      <w:sz w:val="24"/>
      <w:szCs w:val="24"/>
    </w:rPr>
  </w:style>
  <w:style w:type="paragraph" w:styleId="a8">
    <w:name w:val="header"/>
    <w:basedOn w:val="a"/>
    <w:rsid w:val="00AF444C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F444C"/>
  </w:style>
  <w:style w:type="character" w:customStyle="1" w:styleId="21">
    <w:name w:val="Основной текст 2 Знак"/>
    <w:basedOn w:val="a0"/>
    <w:link w:val="20"/>
    <w:semiHidden/>
    <w:rsid w:val="00740D2B"/>
    <w:rPr>
      <w:lang w:val="ru-RU" w:eastAsia="ru-RU" w:bidi="ar-SA"/>
    </w:rPr>
  </w:style>
  <w:style w:type="paragraph" w:styleId="aa">
    <w:name w:val="Balloon Text"/>
    <w:basedOn w:val="a"/>
    <w:link w:val="ab"/>
    <w:rsid w:val="00A307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307D0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A307D0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uiPriority w:val="1"/>
    <w:rsid w:val="00A307D0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e">
    <w:name w:val="footer"/>
    <w:basedOn w:val="a"/>
    <w:link w:val="af"/>
    <w:rsid w:val="006D04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D04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5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3820662768031295E-2"/>
          <c:y val="4.0590405904059039E-2"/>
          <c:w val="0.8966861598440542"/>
          <c:h val="0.76014760147601512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I группа</c:v>
                </c:pt>
              </c:strCache>
            </c:strRef>
          </c:tx>
          <c:spPr>
            <a:gradFill rotWithShape="0">
              <a:gsLst>
                <a:gs pos="0">
                  <a:srgbClr val="9999FF"/>
                </a:gs>
                <a:gs pos="50000">
                  <a:srgbClr val="9999FF">
                    <a:gamma/>
                    <a:shade val="46275"/>
                    <a:invGamma/>
                  </a:srgbClr>
                </a:gs>
                <a:gs pos="100000">
                  <a:srgbClr val="9999FF"/>
                </a:gs>
              </a:gsLst>
              <a:lin ang="0" scaled="1"/>
            </a:gra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74.099999999999994</c:v>
                </c:pt>
                <c:pt idx="1">
                  <c:v>76</c:v>
                </c:pt>
                <c:pt idx="2">
                  <c:v>81.5</c:v>
                </c:pt>
                <c:pt idx="3">
                  <c:v>82.1</c:v>
                </c:pt>
                <c:pt idx="4">
                  <c:v>88.3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II группа</c:v>
                </c:pt>
              </c:strCache>
            </c:strRef>
          </c:tx>
          <c:spPr>
            <a:pattFill prst="wdUpDiag">
              <a:fgClr>
                <a:srgbClr val="FF99CC"/>
              </a:fgClr>
              <a:bgClr>
                <a:srgbClr val="993366"/>
              </a:bgClr>
            </a:patt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20.100000000000001</c:v>
                </c:pt>
                <c:pt idx="1">
                  <c:v>20</c:v>
                </c:pt>
                <c:pt idx="2">
                  <c:v>16</c:v>
                </c:pt>
                <c:pt idx="3">
                  <c:v>16.3</c:v>
                </c:pt>
                <c:pt idx="4">
                  <c:v>10.9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III группа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Sheet1!$B$1:$F$1</c:f>
              <c:numCache>
                <c:formatCode>General</c:formatCode>
                <c:ptCount val="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5.7</c:v>
                </c:pt>
                <c:pt idx="1">
                  <c:v>3.9</c:v>
                </c:pt>
                <c:pt idx="2">
                  <c:v>2.4</c:v>
                </c:pt>
                <c:pt idx="3">
                  <c:v>1.5</c:v>
                </c:pt>
                <c:pt idx="4">
                  <c:v>0.8</c:v>
                </c:pt>
              </c:numCache>
            </c:numRef>
          </c:val>
        </c:ser>
        <c:axId val="60677504"/>
        <c:axId val="68059136"/>
      </c:barChart>
      <c:catAx>
        <c:axId val="60677504"/>
        <c:scaling>
          <c:orientation val="minMax"/>
        </c:scaling>
        <c:axPos val="b"/>
        <c:numFmt formatCode="General" sourceLinked="1"/>
        <c:tickLblPos val="nextTo"/>
        <c:spPr>
          <a:ln w="12700">
            <a:solidFill>
              <a:srgbClr val="FFFFFF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8059136"/>
        <c:crosses val="autoZero"/>
        <c:auto val="1"/>
        <c:lblAlgn val="ctr"/>
        <c:lblOffset val="100"/>
        <c:tickLblSkip val="1"/>
        <c:tickMarkSkip val="1"/>
      </c:catAx>
      <c:valAx>
        <c:axId val="68059136"/>
        <c:scaling>
          <c:orientation val="minMax"/>
        </c:scaling>
        <c:axPos val="l"/>
        <c:majorGridlines>
          <c:spPr>
            <a:ln w="12700">
              <a:solidFill>
                <a:srgbClr val="FFFFFF"/>
              </a:solidFill>
              <a:prstDash val="solid"/>
            </a:ln>
          </c:spPr>
        </c:majorGridlines>
        <c:numFmt formatCode="General" sourceLinked="1"/>
        <c:tickLblPos val="nextTo"/>
        <c:spPr>
          <a:ln w="12700">
            <a:solidFill>
              <a:srgbClr val="FFFFFF"/>
            </a:solidFill>
            <a:prstDash val="solid"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0677504"/>
        <c:crosses val="autoZero"/>
        <c:crossBetween val="between"/>
      </c:valAx>
      <c:spPr>
        <a:gradFill rotWithShape="0">
          <a:gsLst>
            <a:gs pos="0">
              <a:srgbClr val="FF99CC"/>
            </a:gs>
            <a:gs pos="100000">
              <a:srgbClr val="FF99CC">
                <a:gamma/>
                <a:tint val="10980"/>
                <a:invGamma/>
              </a:srgbClr>
            </a:gs>
          </a:gsLst>
          <a:lin ang="5400000" scaled="1"/>
        </a:gradFill>
        <a:ln w="12700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4561403508771937"/>
          <c:y val="0.91512915129151295"/>
          <c:w val="0.58674463937621835"/>
          <c:h val="8.8560885608856194E-2"/>
        </c:manualLayout>
      </c:layout>
      <c:spPr>
        <a:gradFill rotWithShape="0">
          <a:gsLst>
            <a:gs pos="0">
              <a:srgbClr val="FF99CC"/>
            </a:gs>
            <a:gs pos="50000">
              <a:srgbClr val="FF99CC">
                <a:gamma/>
                <a:tint val="13333"/>
                <a:invGamma/>
              </a:srgbClr>
            </a:gs>
            <a:gs pos="100000">
              <a:srgbClr val="FF99CC"/>
            </a:gs>
          </a:gsLst>
          <a:lin ang="5400000" scaled="1"/>
        </a:gra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82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FF99CC"/>
        </a:gs>
        <a:gs pos="50000">
          <a:srgbClr val="FF99CC">
            <a:gamma/>
            <a:tint val="42353"/>
            <a:invGamma/>
          </a:srgbClr>
        </a:gs>
        <a:gs pos="100000">
          <a:srgbClr val="FF99CC"/>
        </a:gs>
      </a:gsLst>
      <a:lin ang="5400000" scaled="1"/>
    </a:gradFill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2004 год</a:t>
            </a:r>
          </a:p>
        </c:rich>
      </c:tx>
      <c:layout>
        <c:manualLayout>
          <c:xMode val="edge"/>
          <c:yMode val="edge"/>
          <c:x val="0.32758620689655193"/>
          <c:y val="0.84905660377358538"/>
        </c:manualLayout>
      </c:layout>
      <c:spPr>
        <a:noFill/>
        <a:ln w="25398">
          <a:noFill/>
        </a:ln>
      </c:spPr>
    </c:title>
    <c:plotArea>
      <c:layout>
        <c:manualLayout>
          <c:layoutTarget val="inner"/>
          <c:xMode val="edge"/>
          <c:yMode val="edge"/>
          <c:x val="0.15086206896551718"/>
          <c:y val="8.1761006289308172E-2"/>
          <c:w val="0.51724137931034486"/>
          <c:h val="0.75471698113207553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9900"/>
              </a:solidFill>
              <a:ln w="12699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wdDnDiag">
                <a:fgClr>
                  <a:srgbClr val="800080"/>
                </a:fgClr>
                <a:bgClr>
                  <a:srgbClr val="FFFFFF"/>
                </a:bgClr>
              </a:pattFill>
              <a:ln w="12699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900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Val val="1"/>
            </c:dLbl>
            <c:delete val="1"/>
          </c:dLbls>
          <c:cat>
            <c:strRef>
              <c:f>Sheet1!$B$1:$C$1</c:f>
              <c:strCache>
                <c:ptCount val="2"/>
                <c:pt idx="0">
                  <c:v>&lt; 10 лет</c:v>
                </c:pt>
                <c:pt idx="1">
                  <c:v>&gt; 10 лет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0.49000000000000016</c:v>
                </c:pt>
                <c:pt idx="1">
                  <c:v>0.51</c:v>
                </c:pt>
              </c:numCache>
            </c:numRef>
          </c:val>
        </c:ser>
        <c:firstSliceAng val="0"/>
      </c:pieChart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3706896551724099"/>
          <c:y val="0"/>
          <c:w val="0.26293103448275845"/>
          <c:h val="0.2452830188679247"/>
        </c:manualLayout>
      </c:layout>
      <c:spPr>
        <a:solidFill>
          <a:srgbClr val="FFFFFF"/>
        </a:solidFill>
        <a:ln w="25398">
          <a:noFill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2008 год</a:t>
            </a:r>
          </a:p>
        </c:rich>
      </c:tx>
      <c:layout>
        <c:manualLayout>
          <c:xMode val="edge"/>
          <c:yMode val="edge"/>
          <c:x val="0.28638497652582201"/>
          <c:y val="0.84246575342465768"/>
        </c:manualLayout>
      </c:layout>
      <c:spPr>
        <a:noFill/>
        <a:ln w="25399">
          <a:noFill/>
        </a:ln>
      </c:spPr>
    </c:title>
    <c:plotArea>
      <c:layout>
        <c:manualLayout>
          <c:layoutTarget val="inner"/>
          <c:xMode val="edge"/>
          <c:yMode val="edge"/>
          <c:x val="0.13145539906103298"/>
          <c:y val="0"/>
          <c:w val="0.57276995305164324"/>
          <c:h val="0.83561643835616461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spPr>
              <a:solidFill>
                <a:srgbClr val="FF99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pattFill prst="wdDnDiag">
                <a:fgClr>
                  <a:srgbClr val="800080"/>
                </a:fgClr>
                <a:bgClr>
                  <a:srgbClr val="FFFFFF"/>
                </a:bgClr>
              </a:patt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3.0928763854622433E-2"/>
                  <c:y val="-0.24810723080057567"/>
                </c:manualLayout>
              </c:layout>
              <c:dLblPos val="bestFit"/>
              <c:showVal val="1"/>
            </c:dLbl>
            <c:dLbl>
              <c:idx val="1"/>
              <c:dLblPos val="bestFit"/>
              <c:showVal val="1"/>
            </c:dLbl>
            <c:spPr>
              <a:noFill/>
              <a:ln w="25399">
                <a:noFill/>
              </a:ln>
            </c:spPr>
            <c:txPr>
              <a:bodyPr/>
              <a:lstStyle/>
              <a:p>
                <a:pPr>
                  <a:defRPr sz="87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&lt; 10 лет</c:v>
                </c:pt>
                <c:pt idx="1">
                  <c:v>&gt; 10 лет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0.65000000000000036</c:v>
                </c:pt>
                <c:pt idx="1">
                  <c:v>0.35000000000000014</c:v>
                </c:pt>
              </c:numCache>
            </c:numRef>
          </c:val>
        </c:ser>
        <c:firstSliceAng val="0"/>
      </c:pieChart>
      <c:spPr>
        <a:noFill/>
        <a:ln w="25399">
          <a:noFill/>
        </a:ln>
      </c:spPr>
    </c:plotArea>
    <c:plotVisOnly val="1"/>
    <c:dispBlanksAs val="zero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721413721413731"/>
          <c:y val="4.5643153526970903E-2"/>
          <c:w val="0.7484407484407487"/>
          <c:h val="0.7302904564315358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Обязательный контингент</c:v>
                </c:pt>
              </c:strCache>
            </c:strRef>
          </c:tx>
          <c:spPr>
            <a:ln w="25399">
              <a:solidFill>
                <a:srgbClr val="0000FF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FF"/>
              </a:solidFill>
              <a:ln>
                <a:solidFill>
                  <a:srgbClr val="0000FF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</c:numCache>
            </c:numRef>
          </c:cat>
          <c:val>
            <c:numRef>
              <c:f>Sheet1!$B$2:$F$2</c:f>
              <c:numCache>
                <c:formatCode>General</c:formatCode>
                <c:ptCount val="5"/>
                <c:pt idx="0">
                  <c:v>0.56000000000000005</c:v>
                </c:pt>
                <c:pt idx="1">
                  <c:v>0.61000000000000032</c:v>
                </c:pt>
                <c:pt idx="2">
                  <c:v>0.41000000000000014</c:v>
                </c:pt>
                <c:pt idx="3">
                  <c:v>0.53</c:v>
                </c:pt>
                <c:pt idx="4">
                  <c:v>0.4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Медработники</c:v>
                </c:pt>
              </c:strCache>
            </c:strRef>
          </c:tx>
          <c:spPr>
            <a:ln w="25399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</c:numCache>
            </c:numRef>
          </c:cat>
          <c:val>
            <c:numRef>
              <c:f>Sheet1!$B$3:$F$3</c:f>
              <c:numCache>
                <c:formatCode>General</c:formatCode>
                <c:ptCount val="5"/>
                <c:pt idx="0">
                  <c:v>1.07</c:v>
                </c:pt>
                <c:pt idx="1">
                  <c:v>0.72000000000000031</c:v>
                </c:pt>
                <c:pt idx="2">
                  <c:v>0.56999999999999995</c:v>
                </c:pt>
                <c:pt idx="3">
                  <c:v>0.24000000000000007</c:v>
                </c:pt>
                <c:pt idx="4">
                  <c:v>0.83000000000000029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Профзаболевания</c:v>
                </c:pt>
              </c:strCache>
            </c:strRef>
          </c:tx>
          <c:spPr>
            <a:ln w="25399">
              <a:solidFill>
                <a:srgbClr val="339966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numRef>
              <c:f>Sheet1!$B$1:$F$1</c:f>
              <c:numCache>
                <c:formatCode>General</c:formatCode>
                <c:ptCount val="5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</c:numCache>
            </c:numRef>
          </c:cat>
          <c:val>
            <c:numRef>
              <c:f>Sheet1!$B$4:$F$4</c:f>
              <c:numCache>
                <c:formatCode>General</c:formatCode>
                <c:ptCount val="5"/>
                <c:pt idx="0">
                  <c:v>9.0000000000000024E-2</c:v>
                </c:pt>
                <c:pt idx="1">
                  <c:v>0.36000000000000015</c:v>
                </c:pt>
                <c:pt idx="2">
                  <c:v>0.16</c:v>
                </c:pt>
                <c:pt idx="3">
                  <c:v>8.0000000000000043E-2</c:v>
                </c:pt>
                <c:pt idx="4">
                  <c:v>0.42000000000000015</c:v>
                </c:pt>
              </c:numCache>
            </c:numRef>
          </c:val>
        </c:ser>
        <c:marker val="1"/>
        <c:axId val="39121280"/>
        <c:axId val="39123200"/>
      </c:lineChart>
      <c:catAx>
        <c:axId val="39121280"/>
        <c:scaling>
          <c:orientation val="minMax"/>
        </c:scaling>
        <c:axPos val="b"/>
        <c:numFmt formatCode="General" sourceLinked="1"/>
        <c:tickLblPos val="nextTo"/>
        <c:spPr>
          <a:ln w="12700">
            <a:solidFill>
              <a:srgbClr val="008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123200"/>
        <c:crosses val="autoZero"/>
        <c:auto val="1"/>
        <c:lblAlgn val="ctr"/>
        <c:lblOffset val="100"/>
        <c:tickLblSkip val="1"/>
        <c:tickMarkSkip val="1"/>
      </c:catAx>
      <c:valAx>
        <c:axId val="39123200"/>
        <c:scaling>
          <c:orientation val="minMax"/>
        </c:scaling>
        <c:axPos val="l"/>
        <c:majorGridlines>
          <c:spPr>
            <a:ln w="12700">
              <a:solidFill>
                <a:srgbClr val="008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25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ru-RU"/>
                  <a:t>Показатель на 1000 чел.</a:t>
                </a:r>
              </a:p>
            </c:rich>
          </c:tx>
          <c:layout>
            <c:manualLayout>
              <c:xMode val="edge"/>
              <c:yMode val="edge"/>
              <c:x val="3.3264033264033266E-2"/>
              <c:y val="0.14522821576763498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12700">
            <a:solidFill>
              <a:srgbClr val="008000"/>
            </a:solidFill>
            <a:prstDash val="solid"/>
          </a:ln>
        </c:spPr>
        <c:txPr>
          <a:bodyPr rot="0" vert="horz"/>
          <a:lstStyle/>
          <a:p>
            <a:pPr>
              <a:defRPr sz="925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9121280"/>
        <c:crosses val="autoZero"/>
        <c:crossBetween val="between"/>
      </c:valAx>
      <c:spPr>
        <a:gradFill rotWithShape="0">
          <a:gsLst>
            <a:gs pos="0">
              <a:srgbClr val="CCFFCC"/>
            </a:gs>
            <a:gs pos="100000">
              <a:srgbClr val="CCFFCC">
                <a:gamma/>
                <a:shade val="93333"/>
                <a:invGamma/>
              </a:srgbClr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2.7027027027027053E-2"/>
          <c:y val="0.90041493775933579"/>
          <c:w val="0.96673596673596651"/>
          <c:h val="9.9585062240664032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  <a:effectLst>
          <a:outerShdw dist="35921" dir="2700000" algn="br">
            <a:srgbClr val="000000"/>
          </a:outerShdw>
        </a:effectLst>
      </c:spPr>
      <c:txPr>
        <a:bodyPr/>
        <a:lstStyle/>
        <a:p>
          <a:pPr>
            <a:defRPr sz="73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gradFill rotWithShape="0">
      <a:gsLst>
        <a:gs pos="0">
          <a:srgbClr val="CCFFCC"/>
        </a:gs>
        <a:gs pos="50000">
          <a:srgbClr val="FFFFCC"/>
        </a:gs>
        <a:gs pos="100000">
          <a:srgbClr val="CCFFCC"/>
        </a:gs>
      </a:gsLst>
      <a:lin ang="5400000" scaled="1"/>
    </a:gradFill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5B431377F544B6A61588E41594AA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658CB6-1685-4670-93D6-83C9EF844A3A}"/>
      </w:docPartPr>
      <w:docPartBody>
        <w:p w:rsidR="00BC5E0D" w:rsidRDefault="001507B1" w:rsidP="001507B1">
          <w:pPr>
            <w:pStyle w:val="745B431377F544B6A61588E41594AA8F"/>
          </w:pPr>
          <w:r>
            <w:rPr>
              <w:color w:val="FFFFFF" w:themeColor="background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B6CC9148AA2B453F86068879972916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C1C577-F4B7-479F-AE36-BA82D17C08CE}"/>
      </w:docPartPr>
      <w:docPartBody>
        <w:p w:rsidR="00BC5E0D" w:rsidRDefault="001507B1" w:rsidP="001507B1">
          <w:pPr>
            <w:pStyle w:val="B6CC9148AA2B453F860688799729169C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99B3B7BADEE14E329C246E89193249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F471D0-FB14-44A5-B189-7D9A18CBA86E}"/>
      </w:docPartPr>
      <w:docPartBody>
        <w:p w:rsidR="00BC5E0D" w:rsidRDefault="001507B1" w:rsidP="001507B1">
          <w:pPr>
            <w:pStyle w:val="99B3B7BADEE14E329C246E891932498A"/>
          </w:pPr>
          <w:r>
            <w:rPr>
              <w:color w:val="FFFFFF" w:themeColor="background1"/>
              <w:sz w:val="48"/>
              <w:szCs w:val="48"/>
            </w:rPr>
            <w:t>[Год]</w:t>
          </w:r>
        </w:p>
      </w:docPartBody>
    </w:docPart>
    <w:docPart>
      <w:docPartPr>
        <w:name w:val="9C68C919EF6A4587920F17B16D52FA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E2B96B-5D41-49AE-A67B-212C35FFF386}"/>
      </w:docPartPr>
      <w:docPartBody>
        <w:p w:rsidR="00BC5E0D" w:rsidRDefault="001507B1" w:rsidP="001507B1">
          <w:pPr>
            <w:pStyle w:val="9C68C919EF6A4587920F17B16D52FAD6"/>
          </w:pPr>
          <w:r>
            <w:rPr>
              <w:color w:val="FFFFFF" w:themeColor="background1"/>
            </w:rP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507B1"/>
    <w:rsid w:val="001507B1"/>
    <w:rsid w:val="00BC5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5B431377F544B6A61588E41594AA8F">
    <w:name w:val="745B431377F544B6A61588E41594AA8F"/>
    <w:rsid w:val="001507B1"/>
  </w:style>
  <w:style w:type="paragraph" w:customStyle="1" w:styleId="B6CC9148AA2B453F860688799729169C">
    <w:name w:val="B6CC9148AA2B453F860688799729169C"/>
    <w:rsid w:val="001507B1"/>
  </w:style>
  <w:style w:type="paragraph" w:customStyle="1" w:styleId="F79C433081724E8EA3E573852D1B6B26">
    <w:name w:val="F79C433081724E8EA3E573852D1B6B26"/>
    <w:rsid w:val="001507B1"/>
  </w:style>
  <w:style w:type="paragraph" w:customStyle="1" w:styleId="99B3B7BADEE14E329C246E891932498A">
    <w:name w:val="99B3B7BADEE14E329C246E891932498A"/>
    <w:rsid w:val="001507B1"/>
  </w:style>
  <w:style w:type="paragraph" w:customStyle="1" w:styleId="9C68C919EF6A4587920F17B16D52FAD6">
    <w:name w:val="9C68C919EF6A4587920F17B16D52FAD6"/>
    <w:rsid w:val="001507B1"/>
  </w:style>
  <w:style w:type="paragraph" w:customStyle="1" w:styleId="C7780A7DFF1E463F900A246E55DDC4BB">
    <w:name w:val="C7780A7DFF1E463F900A246E55DDC4BB"/>
    <w:rsid w:val="001507B1"/>
  </w:style>
  <w:style w:type="paragraph" w:customStyle="1" w:styleId="3B1AA19C4A624D8A9FF9C8C4B0737A73">
    <w:name w:val="3B1AA19C4A624D8A9FF9C8C4B0737A73"/>
    <w:rsid w:val="001507B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2009-07-27T00:00:00</PublishDate>
  <Abstract>В 2008 году начато внедрение рекомендаций ВОЗ «Профилактика туберкулеза в лечебно-профилактических учреждениях при дефиците необходимых ресурсов». Создана основа для реализации комплексного подхода и участия как медицинских, так и не медицинских структур в решении проблем профилактики профзаболеваемости туберкулезом.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00F33FB-5132-4E80-9E59-813DCFDA8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УЗ «МЗЦГЭ»</Company>
  <LinksUpToDate>false</LinksUpToDate>
  <CharactersWithSpaces>4839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1.5</dc:title>
  <dc:subject>Характеристика и материально-техническая база учреждений здравоохранения</dc:subject>
  <dc:creator>епидотдел</dc:creator>
  <cp:keywords/>
  <dc:description/>
  <cp:lastModifiedBy>Egor</cp:lastModifiedBy>
  <cp:revision>2</cp:revision>
  <cp:lastPrinted>2009-06-16T13:44:00Z</cp:lastPrinted>
  <dcterms:created xsi:type="dcterms:W3CDTF">2009-07-27T09:46:00Z</dcterms:created>
  <dcterms:modified xsi:type="dcterms:W3CDTF">2009-07-27T09:46:00Z</dcterms:modified>
</cp:coreProperties>
</file>