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Default Extension="sldx" ContentType="application/vnd.openxmlformats-officedocument.presentationml.slide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25" w:rsidRPr="002E3834" w:rsidRDefault="00E32225" w:rsidP="00E32225">
      <w:pPr>
        <w:pStyle w:val="2"/>
        <w:jc w:val="both"/>
        <w:rPr>
          <w:szCs w:val="28"/>
        </w:rPr>
      </w:pPr>
      <w:bookmarkStart w:id="0" w:name="_Toc109223615"/>
      <w:bookmarkStart w:id="1" w:name="_Toc110070078"/>
      <w:r w:rsidRPr="002E3834">
        <w:rPr>
          <w:szCs w:val="28"/>
        </w:rPr>
        <w:t>1.4. Инфекционная и паразитарная заболева</w:t>
      </w:r>
      <w:r w:rsidRPr="002E3834">
        <w:rPr>
          <w:szCs w:val="28"/>
        </w:rPr>
        <w:t>е</w:t>
      </w:r>
      <w:r w:rsidRPr="002E3834">
        <w:rPr>
          <w:szCs w:val="28"/>
        </w:rPr>
        <w:t>мость</w:t>
      </w:r>
      <w:bookmarkEnd w:id="0"/>
      <w:bookmarkEnd w:id="1"/>
    </w:p>
    <w:p w:rsidR="00E32225" w:rsidRDefault="00E32225" w:rsidP="00E32225">
      <w:pPr>
        <w:pStyle w:val="a5"/>
        <w:ind w:firstLine="284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Эпидемическая ситуация  по инфекционным и паразитарным заболеваниям среди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селения г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 xml:space="preserve">огилева в 2008  году оставалась </w:t>
      </w:r>
      <w:r>
        <w:rPr>
          <w:rFonts w:ascii="Times New Roman" w:hAnsi="Times New Roman"/>
          <w:b/>
          <w:sz w:val="24"/>
        </w:rPr>
        <w:t>сложной, но в то же время контролируемой: мы сохранили многолетнюю тенденцию к снижению</w:t>
      </w:r>
      <w:r>
        <w:rPr>
          <w:rFonts w:ascii="Times New Roman" w:hAnsi="Times New Roman"/>
          <w:sz w:val="24"/>
        </w:rPr>
        <w:t xml:space="preserve"> общей инфекционной заболеваем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 (рис. 43).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6009005" cy="2365375"/>
            <wp:effectExtent l="0" t="0" r="0" b="0"/>
            <wp:wrapTopAndBottom/>
            <wp:docPr id="2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E32225" w:rsidRDefault="00E32225" w:rsidP="00E32225">
      <w:pPr>
        <w:pStyle w:val="a5"/>
        <w:ind w:left="851" w:hanging="425"/>
        <w:jc w:val="both"/>
        <w:rPr>
          <w:rFonts w:ascii="Times New Roman" w:hAnsi="Times New Roman"/>
          <w:b/>
        </w:rPr>
      </w:pPr>
      <w:r w:rsidRPr="00781BB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</w:t>
      </w:r>
      <w:r w:rsidRPr="00781BB0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781BB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Рис. 43</w:t>
      </w:r>
      <w:r w:rsidRPr="00781BB0">
        <w:rPr>
          <w:rFonts w:ascii="Times New Roman" w:hAnsi="Times New Roman"/>
          <w:b/>
        </w:rPr>
        <w:t xml:space="preserve">. Динамика инфекционной и паразитарной заболеваемости населения </w:t>
      </w:r>
    </w:p>
    <w:p w:rsidR="00E32225" w:rsidRPr="00781BB0" w:rsidRDefault="00E32225" w:rsidP="00E32225">
      <w:pPr>
        <w:pStyle w:val="a5"/>
        <w:ind w:left="851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ab/>
        <w:t xml:space="preserve">             </w:t>
      </w:r>
      <w:r w:rsidRPr="00781BB0">
        <w:rPr>
          <w:rFonts w:ascii="Times New Roman" w:hAnsi="Times New Roman"/>
          <w:b/>
        </w:rPr>
        <w:t>г. Могилёва в 1997-2008гг.</w:t>
      </w:r>
    </w:p>
    <w:p w:rsidR="00E32225" w:rsidRDefault="00E32225" w:rsidP="00E32225">
      <w:pPr>
        <w:pStyle w:val="a5"/>
        <w:ind w:left="851" w:hanging="425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      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95,8% инфекционной  и  паразитарной заболеваемости,  зарегистрированной в 2008 году, приходится на сумму острых  респираторных инфекций. За время эпидемии, продолжающейся чуть более 3-х недель, переболело 6,3% населения. Целенаправленно проводимые мероприятия в </w:t>
      </w:r>
      <w:proofErr w:type="spellStart"/>
      <w:r>
        <w:rPr>
          <w:rFonts w:ascii="Times New Roman" w:hAnsi="Times New Roman"/>
          <w:sz w:val="24"/>
        </w:rPr>
        <w:t>предэпидемический</w:t>
      </w:r>
      <w:proofErr w:type="spellEnd"/>
      <w:r>
        <w:rPr>
          <w:rFonts w:ascii="Times New Roman" w:hAnsi="Times New Roman"/>
          <w:sz w:val="24"/>
        </w:rPr>
        <w:t xml:space="preserve"> и эпидемический периоды позволили снизить заболеваемость по итогам года на 7,3%, но она по-прежнему оставалась выше республиканского уровня (рис. 44).</w:t>
      </w:r>
    </w:p>
    <w:p w:rsidR="00E32225" w:rsidRDefault="00E32225" w:rsidP="00E32225">
      <w:pPr>
        <w:pStyle w:val="a5"/>
        <w:ind w:left="1134" w:hanging="425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 </w:t>
      </w:r>
      <w:r w:rsidRPr="00A71DB0">
        <w:rPr>
          <w:rFonts w:ascii="Times New Roman" w:hAnsi="Times New Roman"/>
          <w:b/>
          <w:sz w:val="16"/>
        </w:rPr>
        <w:t xml:space="preserve">   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6076315" cy="2569845"/>
            <wp:effectExtent l="0" t="0" r="0" b="0"/>
            <wp:wrapTopAndBottom/>
            <wp:docPr id="2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</w:t>
      </w:r>
      <w:r w:rsidRPr="008A6D87">
        <w:rPr>
          <w:rFonts w:ascii="Times New Roman" w:hAnsi="Times New Roman"/>
          <w:b/>
        </w:rPr>
        <w:t xml:space="preserve">Рис. 44. Динамика заболеваемости населения города Могилева и РБ </w:t>
      </w:r>
      <w:proofErr w:type="gramStart"/>
      <w:r w:rsidRPr="008A6D87">
        <w:rPr>
          <w:rFonts w:ascii="Times New Roman" w:hAnsi="Times New Roman"/>
          <w:b/>
        </w:rPr>
        <w:t>острыми</w:t>
      </w:r>
      <w:proofErr w:type="gramEnd"/>
    </w:p>
    <w:p w:rsidR="00E32225" w:rsidRPr="008A6D87" w:rsidRDefault="00E32225" w:rsidP="00E32225">
      <w:pPr>
        <w:pStyle w:val="a5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Pr="008A6D87">
        <w:rPr>
          <w:rFonts w:ascii="Times New Roman" w:hAnsi="Times New Roman"/>
          <w:b/>
        </w:rPr>
        <w:t xml:space="preserve"> респираторными заболеваниями, в т.ч. гриппом за период с 2000-2008гг.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Заболеваемость острыми кишечными инфекциями остается в городе традиционно выше областной (на 64%), в пределах прогнозируемой и, несмотря на увеличение </w:t>
      </w:r>
      <w:r>
        <w:rPr>
          <w:rFonts w:ascii="Times New Roman" w:hAnsi="Times New Roman"/>
          <w:sz w:val="24"/>
        </w:rPr>
        <w:lastRenderedPageBreak/>
        <w:t xml:space="preserve">регистрации по сравнению с прошлым годом на 8,9%, </w:t>
      </w:r>
      <w:r>
        <w:rPr>
          <w:rFonts w:ascii="Times New Roman" w:hAnsi="Times New Roman"/>
          <w:b/>
          <w:sz w:val="24"/>
        </w:rPr>
        <w:t>сохраняет те</w:t>
      </w:r>
      <w:r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z w:val="24"/>
        </w:rPr>
        <w:t>денцию к снижению</w:t>
      </w:r>
      <w:r>
        <w:rPr>
          <w:rFonts w:ascii="Times New Roman" w:hAnsi="Times New Roman"/>
          <w:sz w:val="24"/>
        </w:rPr>
        <w:t xml:space="preserve"> по многолетним данным (рис.45).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228600</wp:posOffset>
            </wp:positionV>
            <wp:extent cx="5848350" cy="4114800"/>
            <wp:effectExtent l="0" t="0" r="0" b="0"/>
            <wp:wrapTopAndBottom/>
            <wp:docPr id="2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32225" w:rsidRPr="00781BB0" w:rsidRDefault="00E32225" w:rsidP="00E32225">
      <w:pPr>
        <w:pStyle w:val="23"/>
        <w:ind w:left="1560" w:hanging="709"/>
        <w:rPr>
          <w:b/>
        </w:rPr>
      </w:pPr>
      <w:r w:rsidRPr="00460F26">
        <w:rPr>
          <w:b/>
        </w:rPr>
        <w:t xml:space="preserve">     </w:t>
      </w:r>
      <w:r w:rsidRPr="00781BB0">
        <w:rPr>
          <w:b/>
        </w:rPr>
        <w:t xml:space="preserve"> </w:t>
      </w:r>
    </w:p>
    <w:p w:rsidR="00E32225" w:rsidRPr="00781BB0" w:rsidRDefault="00E32225" w:rsidP="00E32225">
      <w:pPr>
        <w:pStyle w:val="a5"/>
        <w:ind w:firstLine="709"/>
        <w:jc w:val="both"/>
        <w:rPr>
          <w:rFonts w:ascii="Times New Roman" w:hAnsi="Times New Roman"/>
          <w:b/>
          <w:sz w:val="24"/>
        </w:rPr>
      </w:pPr>
      <w:r w:rsidRPr="00781BB0">
        <w:rPr>
          <w:rFonts w:ascii="Times New Roman" w:hAnsi="Times New Roman"/>
          <w:b/>
        </w:rPr>
        <w:t xml:space="preserve">Рис. </w:t>
      </w:r>
      <w:r>
        <w:rPr>
          <w:rFonts w:ascii="Times New Roman" w:hAnsi="Times New Roman"/>
          <w:b/>
        </w:rPr>
        <w:t>45</w:t>
      </w:r>
      <w:r w:rsidRPr="00781BB0">
        <w:rPr>
          <w:rFonts w:ascii="Times New Roman" w:hAnsi="Times New Roman"/>
          <w:b/>
        </w:rPr>
        <w:t xml:space="preserve">. Динамика заболеваемости ОКИ населения  </w:t>
      </w:r>
      <w:proofErr w:type="gramStart"/>
      <w:r w:rsidRPr="00781BB0">
        <w:rPr>
          <w:rFonts w:ascii="Times New Roman" w:hAnsi="Times New Roman"/>
          <w:b/>
        </w:rPr>
        <w:t>г</w:t>
      </w:r>
      <w:proofErr w:type="gramEnd"/>
      <w:r w:rsidRPr="00781BB0">
        <w:rPr>
          <w:rFonts w:ascii="Times New Roman" w:hAnsi="Times New Roman"/>
          <w:b/>
        </w:rPr>
        <w:t>.  Мог</w:t>
      </w:r>
      <w:r w:rsidRPr="00781BB0">
        <w:rPr>
          <w:rFonts w:ascii="Times New Roman" w:hAnsi="Times New Roman"/>
          <w:b/>
        </w:rPr>
        <w:t>и</w:t>
      </w:r>
      <w:r w:rsidRPr="00781BB0">
        <w:rPr>
          <w:rFonts w:ascii="Times New Roman" w:hAnsi="Times New Roman"/>
          <w:b/>
        </w:rPr>
        <w:t>лева  1997-2008гг.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Удалось удержать на высоком уровне этиологическую расшифровку кишечных инфекций (2007г. - 84,5%, 2008г. – 80,7%) (рис. 46).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6172200" cy="3028950"/>
            <wp:effectExtent l="0" t="0" r="0" b="0"/>
            <wp:wrapNone/>
            <wp:docPr id="2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090D94">
        <w:rPr>
          <w:rFonts w:ascii="Times New Roman" w:hAnsi="Times New Roman"/>
          <w:b/>
        </w:rPr>
        <w:t xml:space="preserve"> Рис. </w:t>
      </w:r>
      <w:r>
        <w:rPr>
          <w:rFonts w:ascii="Times New Roman" w:hAnsi="Times New Roman"/>
          <w:b/>
        </w:rPr>
        <w:t>46</w:t>
      </w:r>
      <w:r w:rsidRPr="00090D9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090D94">
        <w:rPr>
          <w:rFonts w:ascii="Times New Roman" w:hAnsi="Times New Roman"/>
          <w:b/>
        </w:rPr>
        <w:t xml:space="preserve">Динамика  показателя этиологической расшифровки   заболеваемости </w:t>
      </w:r>
    </w:p>
    <w:p w:rsidR="00E32225" w:rsidRPr="00090D94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Pr="00090D94">
        <w:rPr>
          <w:rFonts w:ascii="Times New Roman" w:hAnsi="Times New Roman"/>
          <w:b/>
        </w:rPr>
        <w:t>насел</w:t>
      </w:r>
      <w:r w:rsidRPr="00090D94">
        <w:rPr>
          <w:rFonts w:ascii="Times New Roman" w:hAnsi="Times New Roman"/>
          <w:b/>
        </w:rPr>
        <w:t>е</w:t>
      </w:r>
      <w:r w:rsidRPr="00090D94">
        <w:rPr>
          <w:rFonts w:ascii="Times New Roman" w:hAnsi="Times New Roman"/>
          <w:b/>
        </w:rPr>
        <w:t xml:space="preserve">ния  </w:t>
      </w:r>
      <w:proofErr w:type="gramStart"/>
      <w:r w:rsidRPr="00090D94">
        <w:rPr>
          <w:rFonts w:ascii="Times New Roman" w:hAnsi="Times New Roman"/>
          <w:b/>
        </w:rPr>
        <w:t>г</w:t>
      </w:r>
      <w:proofErr w:type="gramEnd"/>
      <w:r w:rsidRPr="00090D94">
        <w:rPr>
          <w:rFonts w:ascii="Times New Roman" w:hAnsi="Times New Roman"/>
          <w:b/>
        </w:rPr>
        <w:t>. Могилева 2002-2008гг.</w:t>
      </w:r>
    </w:p>
    <w:p w:rsidR="00E32225" w:rsidRPr="002E6D43" w:rsidRDefault="00E32225" w:rsidP="00E32225">
      <w:pPr>
        <w:pStyle w:val="a5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К</w:t>
      </w:r>
      <w:r>
        <w:rPr>
          <w:rFonts w:ascii="Times New Roman" w:hAnsi="Times New Roman"/>
          <w:sz w:val="24"/>
        </w:rPr>
        <w:t xml:space="preserve">ак и в прошлые годы особенности годового эпидемического процесса определяли возбудители с преимущественно водным пусковым путем передачи – </w:t>
      </w:r>
      <w:proofErr w:type="spellStart"/>
      <w:r>
        <w:rPr>
          <w:rFonts w:ascii="Times New Roman" w:hAnsi="Times New Roman"/>
          <w:sz w:val="24"/>
        </w:rPr>
        <w:t>ротавирусы</w:t>
      </w:r>
      <w:proofErr w:type="spellEnd"/>
      <w:r>
        <w:rPr>
          <w:rFonts w:ascii="Times New Roman" w:hAnsi="Times New Roman"/>
          <w:sz w:val="24"/>
        </w:rPr>
        <w:t>, уровень заболеваемости которыми возрос по сравнению с прошлым годом на 22,97% и  соста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ляет 57,1% от суммы ОКИ, 71,2% - от </w:t>
      </w:r>
      <w:proofErr w:type="spellStart"/>
      <w:r>
        <w:rPr>
          <w:rFonts w:ascii="Times New Roman" w:hAnsi="Times New Roman"/>
          <w:sz w:val="24"/>
        </w:rPr>
        <w:t>этиологически</w:t>
      </w:r>
      <w:proofErr w:type="spellEnd"/>
      <w:r>
        <w:rPr>
          <w:rFonts w:ascii="Times New Roman" w:hAnsi="Times New Roman"/>
          <w:sz w:val="24"/>
        </w:rPr>
        <w:t xml:space="preserve"> расшифрованных диарей (рис.47).</w:t>
      </w:r>
      <w:r>
        <w:rPr>
          <w:b/>
          <w:sz w:val="16"/>
        </w:rPr>
        <w:t xml:space="preserve">     </w:t>
      </w:r>
    </w:p>
    <w:p w:rsidR="00E32225" w:rsidRDefault="00E32225" w:rsidP="00E32225">
      <w:pPr>
        <w:ind w:left="1134" w:hanging="567"/>
        <w:rPr>
          <w:b/>
        </w:rPr>
      </w:pPr>
      <w:r>
        <w:rPr>
          <w:b/>
          <w:noProof/>
          <w:sz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191135</wp:posOffset>
            </wp:positionV>
            <wp:extent cx="4700270" cy="2457450"/>
            <wp:effectExtent l="0" t="0" r="0" b="0"/>
            <wp:wrapTopAndBottom/>
            <wp:docPr id="1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32225" w:rsidRDefault="00E32225" w:rsidP="00E32225">
      <w:pPr>
        <w:ind w:left="1134" w:hanging="567"/>
        <w:rPr>
          <w:b/>
        </w:rPr>
      </w:pPr>
    </w:p>
    <w:p w:rsidR="00E32225" w:rsidRDefault="00E32225" w:rsidP="00E32225">
      <w:pPr>
        <w:ind w:left="1134" w:hanging="567"/>
        <w:rPr>
          <w:b/>
        </w:rPr>
      </w:pPr>
    </w:p>
    <w:p w:rsidR="00E32225" w:rsidRDefault="00E32225" w:rsidP="00E32225">
      <w:pPr>
        <w:ind w:left="1134" w:hanging="567"/>
        <w:rPr>
          <w:b/>
        </w:rPr>
      </w:pPr>
      <w:r>
        <w:rPr>
          <w:b/>
        </w:rPr>
        <w:t xml:space="preserve">          Рис. 47</w:t>
      </w:r>
      <w:r w:rsidRPr="002E6D43">
        <w:rPr>
          <w:b/>
        </w:rPr>
        <w:t>.</w:t>
      </w:r>
      <w:r>
        <w:rPr>
          <w:b/>
        </w:rPr>
        <w:t xml:space="preserve"> </w:t>
      </w:r>
      <w:r w:rsidRPr="002E6D43">
        <w:rPr>
          <w:b/>
        </w:rPr>
        <w:t xml:space="preserve"> Динамика    этиологической    структуры    заболеваемости ОКИ    населения  </w:t>
      </w:r>
    </w:p>
    <w:p w:rsidR="00E32225" w:rsidRPr="002E6D43" w:rsidRDefault="00E32225" w:rsidP="00E32225">
      <w:pPr>
        <w:ind w:left="1134" w:hanging="567"/>
        <w:rPr>
          <w:b/>
        </w:rPr>
      </w:pPr>
      <w:r>
        <w:rPr>
          <w:b/>
        </w:rPr>
        <w:t xml:space="preserve">                          </w:t>
      </w:r>
      <w:r w:rsidRPr="002E6D43">
        <w:rPr>
          <w:b/>
        </w:rPr>
        <w:t>г. М</w:t>
      </w:r>
      <w:r w:rsidRPr="002E6D43">
        <w:rPr>
          <w:b/>
        </w:rPr>
        <w:t>о</w:t>
      </w:r>
      <w:r w:rsidRPr="002E6D43">
        <w:rPr>
          <w:b/>
        </w:rPr>
        <w:t>гилёва   1994-2008гг.</w:t>
      </w:r>
    </w:p>
    <w:p w:rsidR="00E32225" w:rsidRPr="00AB219B" w:rsidRDefault="00E32225" w:rsidP="00E32225">
      <w:pPr>
        <w:ind w:left="1134"/>
        <w:rPr>
          <w:b/>
          <w:sz w:val="16"/>
        </w:rPr>
      </w:pPr>
    </w:p>
    <w:p w:rsidR="00E32225" w:rsidRDefault="00E32225" w:rsidP="00E32225">
      <w:pPr>
        <w:rPr>
          <w:b/>
          <w:sz w:val="16"/>
        </w:rPr>
      </w:pPr>
    </w:p>
    <w:p w:rsidR="00E32225" w:rsidRDefault="00E32225" w:rsidP="00E3222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647700</wp:posOffset>
            </wp:positionV>
            <wp:extent cx="4852670" cy="2827655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CB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Pr="00FB4CB8">
        <w:rPr>
          <w:b/>
          <w:sz w:val="24"/>
          <w:szCs w:val="24"/>
        </w:rPr>
        <w:t xml:space="preserve"> </w:t>
      </w:r>
      <w:proofErr w:type="spellStart"/>
      <w:proofErr w:type="gramStart"/>
      <w:r w:rsidRPr="00FB4CB8">
        <w:rPr>
          <w:sz w:val="24"/>
          <w:szCs w:val="24"/>
        </w:rPr>
        <w:t>Ротавирусная</w:t>
      </w:r>
      <w:proofErr w:type="spellEnd"/>
      <w:r w:rsidRPr="00FB4CB8">
        <w:rPr>
          <w:sz w:val="24"/>
          <w:szCs w:val="24"/>
        </w:rPr>
        <w:t xml:space="preserve"> инфекция определяла и возрастную «группу риска» в целом по кише</w:t>
      </w:r>
      <w:r w:rsidRPr="00FB4CB8">
        <w:rPr>
          <w:sz w:val="24"/>
          <w:szCs w:val="24"/>
        </w:rPr>
        <w:t>ч</w:t>
      </w:r>
      <w:r w:rsidRPr="00FB4CB8">
        <w:rPr>
          <w:sz w:val="24"/>
          <w:szCs w:val="24"/>
        </w:rPr>
        <w:t>ным инфекциям, которой уже «традиционно» остаются дети первых 2-х лет жизни, на долю которых в структуре ОКИ приходится 52,95%, а интенсивность заболеваемости ОКИ составляет 3360,66 на 100 тыс. населения, что выше показат</w:t>
      </w:r>
      <w:r w:rsidRPr="00FB4CB8">
        <w:rPr>
          <w:sz w:val="24"/>
          <w:szCs w:val="24"/>
        </w:rPr>
        <w:t>е</w:t>
      </w:r>
      <w:r w:rsidRPr="00FB4CB8">
        <w:rPr>
          <w:sz w:val="24"/>
          <w:szCs w:val="24"/>
        </w:rPr>
        <w:t>ля в целом по территории в 19.87 раз</w:t>
      </w:r>
      <w:r>
        <w:rPr>
          <w:sz w:val="24"/>
          <w:szCs w:val="24"/>
        </w:rPr>
        <w:t xml:space="preserve"> (рис. 48)</w:t>
      </w:r>
      <w:r w:rsidRPr="00FB4CB8">
        <w:rPr>
          <w:sz w:val="24"/>
          <w:szCs w:val="24"/>
        </w:rPr>
        <w:t>.</w:t>
      </w:r>
      <w:proofErr w:type="gramEnd"/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jc w:val="both"/>
        <w:rPr>
          <w:sz w:val="24"/>
          <w:szCs w:val="24"/>
        </w:rPr>
      </w:pPr>
    </w:p>
    <w:p w:rsidR="00E32225" w:rsidRDefault="00E32225" w:rsidP="00E32225">
      <w:pPr>
        <w:ind w:firstLine="567"/>
        <w:rPr>
          <w:b/>
          <w:bCs/>
        </w:rPr>
      </w:pPr>
    </w:p>
    <w:p w:rsidR="00E32225" w:rsidRDefault="00E32225" w:rsidP="00E32225">
      <w:pPr>
        <w:ind w:firstLine="567"/>
        <w:rPr>
          <w:b/>
          <w:bCs/>
        </w:rPr>
      </w:pPr>
      <w:r>
        <w:rPr>
          <w:b/>
          <w:bCs/>
        </w:rPr>
        <w:t xml:space="preserve">               </w:t>
      </w:r>
      <w:r w:rsidRPr="002E6D43">
        <w:rPr>
          <w:b/>
          <w:bCs/>
        </w:rPr>
        <w:t>Рис.</w:t>
      </w:r>
      <w:r>
        <w:rPr>
          <w:b/>
          <w:bCs/>
        </w:rPr>
        <w:t xml:space="preserve"> 48</w:t>
      </w:r>
      <w:r w:rsidRPr="002E6D43">
        <w:rPr>
          <w:b/>
          <w:bCs/>
        </w:rPr>
        <w:t>.</w:t>
      </w:r>
      <w:r>
        <w:rPr>
          <w:b/>
          <w:bCs/>
        </w:rPr>
        <w:t xml:space="preserve"> </w:t>
      </w:r>
      <w:r w:rsidRPr="002E6D43">
        <w:rPr>
          <w:b/>
          <w:bCs/>
        </w:rPr>
        <w:t>Многолетняя динамика  возрастной  структуры заболева</w:t>
      </w:r>
      <w:r>
        <w:rPr>
          <w:b/>
          <w:bCs/>
        </w:rPr>
        <w:t xml:space="preserve">емости суммой </w:t>
      </w:r>
    </w:p>
    <w:p w:rsidR="00E32225" w:rsidRDefault="00E32225" w:rsidP="00E32225">
      <w:pPr>
        <w:ind w:firstLine="567"/>
        <w:rPr>
          <w:b/>
          <w:bCs/>
        </w:rPr>
      </w:pPr>
      <w:r>
        <w:rPr>
          <w:b/>
          <w:bCs/>
        </w:rPr>
        <w:t xml:space="preserve">                              ОКИ  населения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</w:t>
      </w:r>
      <w:r w:rsidRPr="002E6D43">
        <w:rPr>
          <w:b/>
          <w:bCs/>
        </w:rPr>
        <w:t>Могилёва  2006-2008гг.</w:t>
      </w:r>
    </w:p>
    <w:p w:rsidR="00E32225" w:rsidRDefault="00E32225" w:rsidP="00E32225">
      <w:pPr>
        <w:ind w:firstLine="567"/>
        <w:rPr>
          <w:b/>
          <w:bCs/>
        </w:rPr>
      </w:pPr>
    </w:p>
    <w:p w:rsidR="00E32225" w:rsidRDefault="00E32225" w:rsidP="00E32225">
      <w:pPr>
        <w:ind w:firstLine="567"/>
        <w:rPr>
          <w:b/>
          <w:bCs/>
        </w:rPr>
      </w:pPr>
    </w:p>
    <w:p w:rsidR="00E32225" w:rsidRDefault="00E32225" w:rsidP="00E32225">
      <w:pPr>
        <w:ind w:firstLine="567"/>
        <w:rPr>
          <w:b/>
          <w:bCs/>
        </w:rPr>
      </w:pPr>
      <w:r>
        <w:rPr>
          <w:sz w:val="24"/>
        </w:rPr>
        <w:t>Эпидемиологический процесс распространения сальмонеллезом по-прежнему хара</w:t>
      </w:r>
      <w:r>
        <w:rPr>
          <w:sz w:val="24"/>
        </w:rPr>
        <w:t>к</w:t>
      </w:r>
      <w:r>
        <w:rPr>
          <w:sz w:val="24"/>
        </w:rPr>
        <w:t xml:space="preserve">теризовался высоким уровнем заболеваемости, превышающим показатели прошлого года (на 34,34%) и областные (на 38%), высокой  бактериологической верификацией (92%), </w:t>
      </w:r>
      <w:proofErr w:type="spellStart"/>
      <w:r>
        <w:rPr>
          <w:sz w:val="24"/>
        </w:rPr>
        <w:t>полиэтиологи</w:t>
      </w:r>
      <w:r>
        <w:rPr>
          <w:sz w:val="24"/>
        </w:rPr>
        <w:t>ч</w:t>
      </w:r>
      <w:r>
        <w:rPr>
          <w:sz w:val="24"/>
        </w:rPr>
        <w:t>ностью</w:t>
      </w:r>
      <w:proofErr w:type="spellEnd"/>
      <w:r>
        <w:rPr>
          <w:sz w:val="24"/>
        </w:rPr>
        <w:t xml:space="preserve"> (в </w:t>
      </w:r>
      <w:proofErr w:type="spellStart"/>
      <w:r>
        <w:rPr>
          <w:sz w:val="24"/>
        </w:rPr>
        <w:t>эпидпроцессе</w:t>
      </w:r>
      <w:proofErr w:type="spellEnd"/>
      <w:r>
        <w:rPr>
          <w:sz w:val="24"/>
        </w:rPr>
        <w:t xml:space="preserve"> участвовало 12 типов сальмонелл), превалированием в этиологич</w:t>
      </w:r>
      <w:r>
        <w:rPr>
          <w:sz w:val="24"/>
        </w:rPr>
        <w:t>е</w:t>
      </w:r>
      <w:r>
        <w:rPr>
          <w:sz w:val="24"/>
        </w:rPr>
        <w:t xml:space="preserve">ской </w:t>
      </w:r>
      <w:proofErr w:type="gramStart"/>
      <w:r>
        <w:rPr>
          <w:sz w:val="24"/>
        </w:rPr>
        <w:t>структуре</w:t>
      </w:r>
      <w:proofErr w:type="gramEnd"/>
      <w:r>
        <w:rPr>
          <w:sz w:val="24"/>
        </w:rPr>
        <w:t xml:space="preserve"> как и в прошлые годы сальмонеллы </w:t>
      </w:r>
      <w:proofErr w:type="spellStart"/>
      <w:r>
        <w:rPr>
          <w:sz w:val="24"/>
        </w:rPr>
        <w:lastRenderedPageBreak/>
        <w:t>Блегдам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энтеритидис</w:t>
      </w:r>
      <w:proofErr w:type="spellEnd"/>
      <w:r>
        <w:rPr>
          <w:sz w:val="24"/>
        </w:rPr>
        <w:t xml:space="preserve"> (в 2007 году – 66%, 2008 году – 78,7% среди </w:t>
      </w:r>
      <w:proofErr w:type="spellStart"/>
      <w:r>
        <w:rPr>
          <w:sz w:val="24"/>
        </w:rPr>
        <w:t>бакподтвержденных</w:t>
      </w:r>
      <w:proofErr w:type="spellEnd"/>
      <w:r>
        <w:rPr>
          <w:sz w:val="24"/>
        </w:rPr>
        <w:t>) (рис.49.)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653405" cy="3310890"/>
            <wp:effectExtent l="0" t="0" r="0" b="0"/>
            <wp:wrapTopAndBottom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b/>
        </w:rPr>
      </w:pPr>
      <w:r w:rsidRPr="00280459">
        <w:rPr>
          <w:rFonts w:ascii="Times New Roman" w:hAnsi="Times New Roman"/>
          <w:b/>
        </w:rPr>
        <w:t>Рис</w:t>
      </w:r>
      <w:r>
        <w:rPr>
          <w:rFonts w:ascii="Times New Roman" w:hAnsi="Times New Roman"/>
          <w:b/>
        </w:rPr>
        <w:t>. 49.</w:t>
      </w:r>
      <w:r w:rsidRPr="00280459">
        <w:rPr>
          <w:rFonts w:ascii="Times New Roman" w:hAnsi="Times New Roman"/>
          <w:b/>
        </w:rPr>
        <w:t xml:space="preserve"> Структура заболеваемости сальмонеллёзом населения города Могилёва </w:t>
      </w:r>
    </w:p>
    <w:p w:rsidR="00E32225" w:rsidRPr="00280459" w:rsidRDefault="00E32225" w:rsidP="00E32225">
      <w:pPr>
        <w:pStyle w:val="a5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280459">
        <w:rPr>
          <w:rFonts w:ascii="Times New Roman" w:hAnsi="Times New Roman"/>
          <w:b/>
        </w:rPr>
        <w:t>с учёто</w:t>
      </w:r>
      <w:r>
        <w:rPr>
          <w:rFonts w:ascii="Times New Roman" w:hAnsi="Times New Roman"/>
          <w:b/>
        </w:rPr>
        <w:t>м этиологического агента  за 1991</w:t>
      </w:r>
      <w:r w:rsidRPr="00280459">
        <w:rPr>
          <w:rFonts w:ascii="Times New Roman" w:hAnsi="Times New Roman"/>
          <w:b/>
        </w:rPr>
        <w:t>-2008гг.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  <w:r w:rsidRPr="00D5185F">
        <w:rPr>
          <w:sz w:val="24"/>
          <w:szCs w:val="24"/>
        </w:rPr>
        <w:t xml:space="preserve">     </w:t>
      </w:r>
    </w:p>
    <w:p w:rsidR="00E32225" w:rsidRDefault="00E32225" w:rsidP="00E32225">
      <w:pPr>
        <w:pStyle w:val="21"/>
        <w:ind w:firstLine="709"/>
        <w:rPr>
          <w:sz w:val="24"/>
          <w:szCs w:val="24"/>
        </w:rPr>
      </w:pPr>
      <w:r w:rsidRPr="00D5185F">
        <w:rPr>
          <w:sz w:val="24"/>
          <w:szCs w:val="24"/>
        </w:rPr>
        <w:t xml:space="preserve">  </w:t>
      </w:r>
      <w:r w:rsidRPr="00280459">
        <w:rPr>
          <w:sz w:val="24"/>
          <w:szCs w:val="24"/>
        </w:rPr>
        <w:t>Сезонный подъем наблюдался в период с июля по октябрь. Превышение верхнего предела</w:t>
      </w:r>
      <w:r w:rsidRPr="00D5185F">
        <w:rPr>
          <w:sz w:val="24"/>
          <w:szCs w:val="24"/>
        </w:rPr>
        <w:t xml:space="preserve"> среднемесячной среднемноголетней </w:t>
      </w:r>
      <w:r>
        <w:rPr>
          <w:sz w:val="24"/>
          <w:szCs w:val="24"/>
        </w:rPr>
        <w:t xml:space="preserve">заболеваемости </w:t>
      </w:r>
      <w:r w:rsidRPr="00D5185F">
        <w:rPr>
          <w:sz w:val="24"/>
          <w:szCs w:val="24"/>
        </w:rPr>
        <w:t xml:space="preserve">наблюдалось в сентябре-октябре, в основном  обусловленное групповой заболеваемостью, связанной с инфицированием на поминках в </w:t>
      </w:r>
      <w:proofErr w:type="spellStart"/>
      <w:r w:rsidRPr="00D5185F">
        <w:rPr>
          <w:sz w:val="24"/>
          <w:szCs w:val="24"/>
        </w:rPr>
        <w:t>Белыничском</w:t>
      </w:r>
      <w:proofErr w:type="spellEnd"/>
      <w:r w:rsidRPr="00D5185F">
        <w:rPr>
          <w:sz w:val="24"/>
          <w:szCs w:val="24"/>
        </w:rPr>
        <w:t xml:space="preserve"> районе (рис.</w:t>
      </w:r>
      <w:r>
        <w:rPr>
          <w:sz w:val="24"/>
          <w:szCs w:val="24"/>
        </w:rPr>
        <w:t>50</w:t>
      </w:r>
      <w:r w:rsidRPr="00D5185F">
        <w:rPr>
          <w:sz w:val="24"/>
          <w:szCs w:val="24"/>
        </w:rPr>
        <w:t xml:space="preserve">). </w:t>
      </w: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44232" cy="2669779"/>
            <wp:effectExtent l="13377" t="5996" r="5016" b="75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2225" w:rsidRPr="00F30472" w:rsidRDefault="00E32225" w:rsidP="00E32225">
      <w:pPr>
        <w:pStyle w:val="21"/>
        <w:rPr>
          <w:b/>
        </w:rPr>
      </w:pPr>
      <w:r w:rsidRPr="00F30472">
        <w:rPr>
          <w:b/>
        </w:rPr>
        <w:t xml:space="preserve">      </w:t>
      </w:r>
      <w:r>
        <w:rPr>
          <w:b/>
        </w:rPr>
        <w:t xml:space="preserve">            </w:t>
      </w:r>
      <w:r w:rsidRPr="00F30472">
        <w:rPr>
          <w:b/>
        </w:rPr>
        <w:t xml:space="preserve">    Рис. 50.</w:t>
      </w:r>
      <w:r>
        <w:rPr>
          <w:b/>
        </w:rPr>
        <w:t xml:space="preserve"> </w:t>
      </w:r>
      <w:r w:rsidRPr="00F30472">
        <w:rPr>
          <w:b/>
        </w:rPr>
        <w:t xml:space="preserve">Сезонная динамика заболеваемости сальмонеллезом по </w:t>
      </w:r>
      <w:proofErr w:type="gramStart"/>
      <w:r w:rsidRPr="00F30472">
        <w:rPr>
          <w:b/>
        </w:rPr>
        <w:t>г</w:t>
      </w:r>
      <w:proofErr w:type="gramEnd"/>
      <w:r w:rsidRPr="00F30472">
        <w:rPr>
          <w:b/>
        </w:rPr>
        <w:t>. Могилеву за 2001-2008гг.</w:t>
      </w: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Pr="00D5185F" w:rsidRDefault="00E32225" w:rsidP="00E32225">
      <w:pPr>
        <w:pStyle w:val="21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Из 18 пострадавших от сальмонеллеза </w:t>
      </w:r>
      <w:proofErr w:type="spellStart"/>
      <w:r>
        <w:rPr>
          <w:sz w:val="24"/>
          <w:szCs w:val="24"/>
        </w:rPr>
        <w:t>Блегдам</w:t>
      </w:r>
      <w:proofErr w:type="spellEnd"/>
      <w:r>
        <w:rPr>
          <w:sz w:val="24"/>
          <w:szCs w:val="24"/>
        </w:rPr>
        <w:t xml:space="preserve"> </w:t>
      </w:r>
      <w:r w:rsidRPr="00921ED2">
        <w:rPr>
          <w:sz w:val="24"/>
          <w:szCs w:val="24"/>
        </w:rPr>
        <w:t>16</w:t>
      </w:r>
      <w:r>
        <w:rPr>
          <w:sz w:val="24"/>
          <w:szCs w:val="24"/>
        </w:rPr>
        <w:t xml:space="preserve"> человек являлись </w:t>
      </w:r>
      <w:r w:rsidRPr="00D5185F">
        <w:rPr>
          <w:sz w:val="24"/>
          <w:szCs w:val="24"/>
        </w:rPr>
        <w:t>жител</w:t>
      </w:r>
      <w:r>
        <w:rPr>
          <w:sz w:val="24"/>
          <w:szCs w:val="24"/>
        </w:rPr>
        <w:t xml:space="preserve">ями </w:t>
      </w:r>
      <w:r w:rsidRPr="00D5185F">
        <w:rPr>
          <w:sz w:val="24"/>
          <w:szCs w:val="24"/>
        </w:rPr>
        <w:t>города Могилева</w:t>
      </w:r>
      <w:r>
        <w:rPr>
          <w:sz w:val="24"/>
          <w:szCs w:val="24"/>
        </w:rPr>
        <w:t xml:space="preserve">. </w:t>
      </w:r>
      <w:r w:rsidRPr="00D5185F">
        <w:rPr>
          <w:sz w:val="24"/>
          <w:szCs w:val="24"/>
        </w:rPr>
        <w:t xml:space="preserve">Причиной инфицирования послужило употребление в пищу </w:t>
      </w:r>
      <w:r w:rsidRPr="00D5185F">
        <w:rPr>
          <w:sz w:val="24"/>
          <w:szCs w:val="24"/>
        </w:rPr>
        <w:lastRenderedPageBreak/>
        <w:t xml:space="preserve">инфицированных пищевых продуктов: курицы тушеной, колбасы копченой, мяса копченого (шинка), при бактериологическом исследовании которых обнаружена  сальмонелла, идентичная сальмонелле, выделенной от больных лиц, употреблявших данные продукты.  Распространению инфекции способствовало нарушение режимов приготовления, хранения и транспортировки готовых блюд (готовые блюда хранились и доставлялись без холода, в домашней посуде, длительно сохраняющей тепло (эффект термоса)). Отсутствовали условия для мытья и обеззараживания столовой посуды.       </w:t>
      </w:r>
    </w:p>
    <w:p w:rsidR="00E32225" w:rsidRDefault="00E32225" w:rsidP="00E32225">
      <w:pPr>
        <w:pStyle w:val="a5"/>
        <w:ind w:left="1418" w:hanging="709"/>
        <w:jc w:val="both"/>
        <w:rPr>
          <w:rFonts w:ascii="Times New Roman" w:hAnsi="Times New Roman"/>
          <w:b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C5B26">
        <w:rPr>
          <w:rFonts w:ascii="Times New Roman" w:hAnsi="Times New Roman"/>
          <w:sz w:val="24"/>
          <w:szCs w:val="24"/>
        </w:rPr>
        <w:t xml:space="preserve">Одним из главных итогов совместной работы санитарной и лечебной служб является создание коллективного иммунитета. Показатели </w:t>
      </w:r>
      <w:proofErr w:type="spellStart"/>
      <w:r w:rsidRPr="00CC5B26">
        <w:rPr>
          <w:rFonts w:ascii="Times New Roman" w:hAnsi="Times New Roman"/>
          <w:sz w:val="24"/>
          <w:szCs w:val="24"/>
        </w:rPr>
        <w:t>привитости</w:t>
      </w:r>
      <w:proofErr w:type="spellEnd"/>
      <w:r w:rsidRPr="00CC5B26">
        <w:rPr>
          <w:rFonts w:ascii="Times New Roman" w:hAnsi="Times New Roman"/>
          <w:sz w:val="24"/>
          <w:szCs w:val="24"/>
        </w:rPr>
        <w:t xml:space="preserve"> населения в основном соответствуют </w:t>
      </w:r>
      <w:proofErr w:type="gramStart"/>
      <w:r w:rsidRPr="00CC5B26">
        <w:rPr>
          <w:rFonts w:ascii="Times New Roman" w:hAnsi="Times New Roman"/>
          <w:sz w:val="24"/>
          <w:szCs w:val="24"/>
        </w:rPr>
        <w:t>оптимальным</w:t>
      </w:r>
      <w:proofErr w:type="gramEnd"/>
      <w:r w:rsidRPr="00CC5B26">
        <w:rPr>
          <w:rFonts w:ascii="Times New Roman" w:hAnsi="Times New Roman"/>
          <w:sz w:val="24"/>
          <w:szCs w:val="24"/>
        </w:rPr>
        <w:t xml:space="preserve">  – более 97%.  (рис.</w:t>
      </w:r>
      <w:r>
        <w:rPr>
          <w:rFonts w:ascii="Times New Roman" w:hAnsi="Times New Roman"/>
          <w:sz w:val="24"/>
          <w:szCs w:val="24"/>
        </w:rPr>
        <w:t>51</w:t>
      </w:r>
      <w:r w:rsidRPr="00CC5B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141605</wp:posOffset>
            </wp:positionV>
            <wp:extent cx="6483350" cy="2900045"/>
            <wp:effectExtent l="0" t="0" r="0" b="0"/>
            <wp:wrapNone/>
            <wp:docPr id="8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Pr="00CC5B26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  <w:r w:rsidRPr="00CC5B26">
        <w:rPr>
          <w:sz w:val="24"/>
          <w:szCs w:val="24"/>
        </w:rPr>
        <w:t xml:space="preserve">          </w:t>
      </w: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b/>
          <w:bCs/>
        </w:rPr>
      </w:pPr>
      <w:r>
        <w:rPr>
          <w:b/>
          <w:bCs/>
        </w:rPr>
        <w:t xml:space="preserve">                      </w:t>
      </w:r>
      <w:r w:rsidRPr="00785F30">
        <w:rPr>
          <w:b/>
          <w:bCs/>
        </w:rPr>
        <w:t xml:space="preserve">Рис. </w:t>
      </w:r>
      <w:r>
        <w:rPr>
          <w:b/>
          <w:bCs/>
        </w:rPr>
        <w:t>51.</w:t>
      </w:r>
      <w:r w:rsidRPr="00785F30">
        <w:rPr>
          <w:b/>
          <w:bCs/>
        </w:rPr>
        <w:t xml:space="preserve"> Сравнительная динамика показателей </w:t>
      </w:r>
      <w:proofErr w:type="spellStart"/>
      <w:r w:rsidRPr="00785F30">
        <w:rPr>
          <w:b/>
          <w:bCs/>
        </w:rPr>
        <w:t>привитости</w:t>
      </w:r>
      <w:proofErr w:type="spellEnd"/>
      <w:r w:rsidRPr="00785F30">
        <w:rPr>
          <w:b/>
          <w:bCs/>
        </w:rPr>
        <w:t xml:space="preserve"> населения </w:t>
      </w:r>
    </w:p>
    <w:p w:rsidR="00E32225" w:rsidRPr="00785F30" w:rsidRDefault="00E32225" w:rsidP="00E32225">
      <w:pPr>
        <w:pStyle w:val="21"/>
      </w:pPr>
      <w:r>
        <w:rPr>
          <w:b/>
          <w:bCs/>
        </w:rPr>
        <w:t xml:space="preserve">                                     </w:t>
      </w:r>
      <w:r w:rsidRPr="00785F30">
        <w:rPr>
          <w:b/>
          <w:bCs/>
        </w:rPr>
        <w:t>г. Могилёва и критериев РБ  2006-2008гг.</w:t>
      </w: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Pr="00CC5B26" w:rsidRDefault="00E32225" w:rsidP="00E32225">
      <w:pPr>
        <w:pStyle w:val="21"/>
        <w:ind w:firstLine="709"/>
        <w:rPr>
          <w:sz w:val="24"/>
          <w:szCs w:val="24"/>
        </w:rPr>
      </w:pPr>
      <w:r w:rsidRPr="00CC5B26">
        <w:rPr>
          <w:sz w:val="24"/>
          <w:szCs w:val="24"/>
        </w:rPr>
        <w:t>Ниже оптимальных: показатели ревакцинации против ди</w:t>
      </w:r>
      <w:r w:rsidRPr="00CC5B26">
        <w:rPr>
          <w:sz w:val="24"/>
          <w:szCs w:val="24"/>
        </w:rPr>
        <w:t>ф</w:t>
      </w:r>
      <w:r w:rsidRPr="00CC5B26">
        <w:rPr>
          <w:sz w:val="24"/>
          <w:szCs w:val="24"/>
        </w:rPr>
        <w:t>терии детей 11 лет (96,3%) по причине необходимости соблюд</w:t>
      </w:r>
      <w:r w:rsidRPr="00CC5B26">
        <w:rPr>
          <w:sz w:val="24"/>
          <w:szCs w:val="24"/>
        </w:rPr>
        <w:t>е</w:t>
      </w:r>
      <w:r w:rsidRPr="00CC5B26">
        <w:rPr>
          <w:sz w:val="24"/>
          <w:szCs w:val="24"/>
        </w:rPr>
        <w:t>ния вновь принятого интервала между прививками в 5 лет  и  против вирусного гепатита</w:t>
      </w:r>
      <w:proofErr w:type="gramStart"/>
      <w:r w:rsidRPr="00CC5B26">
        <w:rPr>
          <w:sz w:val="24"/>
          <w:szCs w:val="24"/>
        </w:rPr>
        <w:t xml:space="preserve"> В</w:t>
      </w:r>
      <w:proofErr w:type="gramEnd"/>
      <w:r w:rsidRPr="00CC5B26">
        <w:rPr>
          <w:sz w:val="24"/>
          <w:szCs w:val="24"/>
        </w:rPr>
        <w:t xml:space="preserve">  </w:t>
      </w:r>
      <w:proofErr w:type="spellStart"/>
      <w:r w:rsidRPr="00CC5B26">
        <w:rPr>
          <w:sz w:val="24"/>
          <w:szCs w:val="24"/>
        </w:rPr>
        <w:t>в</w:t>
      </w:r>
      <w:proofErr w:type="spellEnd"/>
      <w:r w:rsidRPr="00CC5B26">
        <w:rPr>
          <w:sz w:val="24"/>
          <w:szCs w:val="24"/>
        </w:rPr>
        <w:t xml:space="preserve"> 13 лет (92,1%) - по причине не дост</w:t>
      </w:r>
      <w:r w:rsidRPr="00CC5B26">
        <w:rPr>
          <w:sz w:val="24"/>
          <w:szCs w:val="24"/>
        </w:rPr>
        <w:t>а</w:t>
      </w:r>
      <w:r w:rsidRPr="00CC5B26">
        <w:rPr>
          <w:sz w:val="24"/>
          <w:szCs w:val="24"/>
        </w:rPr>
        <w:t xml:space="preserve">точного поступления вакцины в 2007 году и 2008 году.  </w:t>
      </w:r>
    </w:p>
    <w:p w:rsidR="00E32225" w:rsidRDefault="00E32225" w:rsidP="00E32225">
      <w:pPr>
        <w:pStyle w:val="21"/>
        <w:rPr>
          <w:sz w:val="24"/>
          <w:szCs w:val="24"/>
        </w:rPr>
      </w:pPr>
      <w:r w:rsidRPr="00CC5B26">
        <w:rPr>
          <w:sz w:val="24"/>
          <w:szCs w:val="24"/>
        </w:rPr>
        <w:t xml:space="preserve">          Продолжавшаяся целенаправленная работа позволила довести до соответствия санитарно-эпидемиологическим требованиям все прививочные кабинеты всех организованных детских и подростковых коллективов, где разрешено проведение вакцинации</w:t>
      </w:r>
      <w:r>
        <w:rPr>
          <w:sz w:val="24"/>
          <w:szCs w:val="24"/>
        </w:rPr>
        <w:t>,</w:t>
      </w:r>
      <w:r w:rsidRPr="00CC5B26">
        <w:rPr>
          <w:sz w:val="24"/>
          <w:szCs w:val="24"/>
        </w:rPr>
        <w:t xml:space="preserve"> а также достигнуть 100%</w:t>
      </w:r>
      <w:r>
        <w:rPr>
          <w:sz w:val="24"/>
          <w:szCs w:val="24"/>
        </w:rPr>
        <w:t xml:space="preserve">   </w:t>
      </w:r>
      <w:r w:rsidRPr="00CC5B26">
        <w:rPr>
          <w:sz w:val="24"/>
          <w:szCs w:val="24"/>
        </w:rPr>
        <w:t>обеспеченност</w:t>
      </w:r>
      <w:r>
        <w:rPr>
          <w:sz w:val="24"/>
          <w:szCs w:val="24"/>
        </w:rPr>
        <w:t>и</w:t>
      </w:r>
      <w:r w:rsidRPr="00CC5B26">
        <w:rPr>
          <w:sz w:val="24"/>
          <w:szCs w:val="24"/>
        </w:rPr>
        <w:t xml:space="preserve"> </w:t>
      </w:r>
      <w:proofErr w:type="spellStart"/>
      <w:r w:rsidRPr="00CC5B26">
        <w:rPr>
          <w:sz w:val="24"/>
          <w:szCs w:val="24"/>
        </w:rPr>
        <w:t>термоконтейнерами</w:t>
      </w:r>
      <w:proofErr w:type="spellEnd"/>
      <w:r w:rsidRPr="00CC5B26">
        <w:rPr>
          <w:sz w:val="24"/>
          <w:szCs w:val="24"/>
        </w:rPr>
        <w:t xml:space="preserve"> медпунктов и здравпунктов немедицинских организаций (рис.</w:t>
      </w:r>
      <w:r>
        <w:rPr>
          <w:sz w:val="24"/>
          <w:szCs w:val="24"/>
        </w:rPr>
        <w:t>52</w:t>
      </w:r>
      <w:r w:rsidRPr="00CC5B26">
        <w:rPr>
          <w:sz w:val="24"/>
          <w:szCs w:val="24"/>
        </w:rPr>
        <w:t xml:space="preserve">). </w:t>
      </w:r>
    </w:p>
    <w:p w:rsidR="00E32225" w:rsidRDefault="00E32225" w:rsidP="00E32225">
      <w:pPr>
        <w:pStyle w:val="2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86995</wp:posOffset>
            </wp:positionV>
            <wp:extent cx="5943600" cy="2300605"/>
            <wp:effectExtent l="0" t="0" r="0" b="0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32225" w:rsidRPr="00CC5B26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  <w:r w:rsidRPr="00CC5B26">
        <w:rPr>
          <w:sz w:val="24"/>
          <w:szCs w:val="24"/>
        </w:rPr>
        <w:t xml:space="preserve">          </w:t>
      </w: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ind w:right="849"/>
        <w:rPr>
          <w:b/>
          <w:bCs/>
        </w:rPr>
      </w:pPr>
      <w:r>
        <w:rPr>
          <w:b/>
        </w:rPr>
        <w:t xml:space="preserve">                   </w:t>
      </w:r>
      <w:r w:rsidRPr="00A07554">
        <w:rPr>
          <w:b/>
        </w:rPr>
        <w:t xml:space="preserve">Рис. 52. </w:t>
      </w:r>
      <w:r w:rsidRPr="00A07554">
        <w:rPr>
          <w:b/>
          <w:bCs/>
        </w:rPr>
        <w:t xml:space="preserve">Сравнительная динамика  показателей обеспеченности </w:t>
      </w:r>
      <w:proofErr w:type="spellStart"/>
      <w:r w:rsidRPr="00A07554">
        <w:rPr>
          <w:b/>
          <w:bCs/>
        </w:rPr>
        <w:t>термосумками</w:t>
      </w:r>
      <w:proofErr w:type="spellEnd"/>
      <w:r w:rsidRPr="00A07554">
        <w:rPr>
          <w:b/>
          <w:bCs/>
        </w:rPr>
        <w:t xml:space="preserve"> </w:t>
      </w:r>
    </w:p>
    <w:p w:rsidR="00E32225" w:rsidRPr="00A07554" w:rsidRDefault="00E32225" w:rsidP="00E32225">
      <w:pPr>
        <w:pStyle w:val="21"/>
        <w:ind w:right="849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A07554">
        <w:rPr>
          <w:b/>
          <w:bCs/>
        </w:rPr>
        <w:t xml:space="preserve">в </w:t>
      </w:r>
      <w:proofErr w:type="gramStart"/>
      <w:r w:rsidRPr="00A07554">
        <w:rPr>
          <w:b/>
          <w:bCs/>
        </w:rPr>
        <w:t>г</w:t>
      </w:r>
      <w:proofErr w:type="gramEnd"/>
      <w:r w:rsidRPr="00A07554">
        <w:rPr>
          <w:b/>
          <w:bCs/>
        </w:rPr>
        <w:t>. Могилёве  за 2005-2008гг.</w:t>
      </w:r>
    </w:p>
    <w:p w:rsidR="00E32225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21"/>
        <w:ind w:firstLine="709"/>
        <w:rPr>
          <w:sz w:val="24"/>
          <w:szCs w:val="24"/>
        </w:rPr>
      </w:pPr>
      <w:r w:rsidRPr="00CC5B26">
        <w:rPr>
          <w:sz w:val="24"/>
          <w:szCs w:val="24"/>
        </w:rPr>
        <w:t xml:space="preserve">Как положительный момент необходимо отметить открытие в 2008 году платного кабинета по иммунопрофилактике на базе УЗ «МОДБ», где будут проводиться прививки, </w:t>
      </w:r>
      <w:r>
        <w:rPr>
          <w:sz w:val="24"/>
          <w:szCs w:val="24"/>
        </w:rPr>
        <w:t xml:space="preserve">в т.ч. и </w:t>
      </w:r>
      <w:r w:rsidRPr="00CC5B26">
        <w:rPr>
          <w:sz w:val="24"/>
          <w:szCs w:val="24"/>
        </w:rPr>
        <w:t xml:space="preserve">не включенные в перечень обязательных (против рака шейки матки, </w:t>
      </w:r>
      <w:proofErr w:type="spellStart"/>
      <w:r w:rsidRPr="00CC5B26">
        <w:rPr>
          <w:sz w:val="24"/>
          <w:szCs w:val="24"/>
        </w:rPr>
        <w:t>гемофильной</w:t>
      </w:r>
      <w:proofErr w:type="spellEnd"/>
      <w:r w:rsidRPr="00CC5B26">
        <w:rPr>
          <w:sz w:val="24"/>
          <w:szCs w:val="24"/>
        </w:rPr>
        <w:t xml:space="preserve"> инфекции, ветряной оспы).</w:t>
      </w:r>
    </w:p>
    <w:p w:rsidR="00E32225" w:rsidRDefault="00E32225" w:rsidP="00E32225">
      <w:pPr>
        <w:pStyle w:val="21"/>
        <w:rPr>
          <w:sz w:val="24"/>
          <w:szCs w:val="24"/>
        </w:rPr>
      </w:pPr>
      <w:r w:rsidRPr="00CC5B2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CC5B26">
        <w:rPr>
          <w:sz w:val="24"/>
          <w:szCs w:val="24"/>
        </w:rPr>
        <w:t>Анализ заболеваемости инфекциями, управляемыми средствами иммунопрофилактики, свидетельствует о достаточной эффективности проводимых профилактических и противоэпидемических мероприятий, выполнен очередной этап по достижению целевых показателей к 2010 году, разработанных по ряду инфекций с учетом рекомендаций ВОЗ (рис.</w:t>
      </w:r>
      <w:r>
        <w:rPr>
          <w:sz w:val="24"/>
          <w:szCs w:val="24"/>
        </w:rPr>
        <w:t>53</w:t>
      </w:r>
      <w:r w:rsidRPr="00CC5B26">
        <w:rPr>
          <w:sz w:val="24"/>
          <w:szCs w:val="24"/>
        </w:rPr>
        <w:t xml:space="preserve">). </w:t>
      </w:r>
    </w:p>
    <w:p w:rsidR="00E32225" w:rsidRDefault="00E32225" w:rsidP="00E32225">
      <w:pPr>
        <w:pStyle w:val="2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76200</wp:posOffset>
            </wp:positionV>
            <wp:extent cx="4800600" cy="2447925"/>
            <wp:effectExtent l="0" t="0" r="0" b="0"/>
            <wp:wrapNone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32225" w:rsidRPr="00CC5B26" w:rsidRDefault="00E32225" w:rsidP="00E32225">
      <w:pPr>
        <w:pStyle w:val="21"/>
        <w:rPr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21"/>
        <w:rPr>
          <w:b/>
          <w:bCs/>
          <w:sz w:val="24"/>
          <w:szCs w:val="24"/>
        </w:rPr>
      </w:pPr>
    </w:p>
    <w:p w:rsidR="00E32225" w:rsidRDefault="00E32225" w:rsidP="00E32225">
      <w:pPr>
        <w:pStyle w:val="21"/>
        <w:rPr>
          <w:b/>
          <w:bCs/>
          <w:sz w:val="24"/>
          <w:szCs w:val="24"/>
        </w:rPr>
      </w:pPr>
    </w:p>
    <w:p w:rsidR="00E32225" w:rsidRDefault="00E32225" w:rsidP="00E32225">
      <w:pPr>
        <w:pStyle w:val="21"/>
        <w:rPr>
          <w:b/>
          <w:bCs/>
          <w:sz w:val="24"/>
          <w:szCs w:val="24"/>
        </w:rPr>
      </w:pPr>
    </w:p>
    <w:p w:rsidR="00E32225" w:rsidRDefault="00E32225" w:rsidP="00E32225">
      <w:pPr>
        <w:pStyle w:val="21"/>
        <w:rPr>
          <w:b/>
          <w:bCs/>
        </w:rPr>
      </w:pPr>
      <w:r>
        <w:rPr>
          <w:b/>
          <w:bCs/>
        </w:rPr>
        <w:t xml:space="preserve">       </w:t>
      </w:r>
      <w:r w:rsidRPr="00A33886">
        <w:rPr>
          <w:b/>
          <w:bCs/>
        </w:rPr>
        <w:t>Рис</w:t>
      </w:r>
      <w:r>
        <w:rPr>
          <w:b/>
          <w:bCs/>
        </w:rPr>
        <w:t>.</w:t>
      </w:r>
      <w:r w:rsidRPr="00A33886">
        <w:rPr>
          <w:b/>
          <w:bCs/>
        </w:rPr>
        <w:t xml:space="preserve"> </w:t>
      </w:r>
      <w:r>
        <w:rPr>
          <w:b/>
          <w:bCs/>
        </w:rPr>
        <w:t>53</w:t>
      </w:r>
      <w:r w:rsidRPr="00A33886">
        <w:rPr>
          <w:b/>
          <w:bCs/>
        </w:rPr>
        <w:t xml:space="preserve">. Фактические показатели заболеваемости инфекциями, против которых применяется </w:t>
      </w:r>
    </w:p>
    <w:p w:rsidR="00E32225" w:rsidRPr="00A33886" w:rsidRDefault="00E32225" w:rsidP="00E32225">
      <w:pPr>
        <w:pStyle w:val="21"/>
      </w:pPr>
      <w:r>
        <w:rPr>
          <w:b/>
          <w:bCs/>
        </w:rPr>
        <w:t xml:space="preserve">     </w:t>
      </w:r>
      <w:r w:rsidRPr="00A33886">
        <w:rPr>
          <w:b/>
          <w:bCs/>
        </w:rPr>
        <w:t xml:space="preserve">массовая </w:t>
      </w:r>
      <w:r>
        <w:rPr>
          <w:b/>
          <w:bCs/>
        </w:rPr>
        <w:t xml:space="preserve"> </w:t>
      </w:r>
      <w:r w:rsidRPr="00A33886">
        <w:rPr>
          <w:b/>
          <w:bCs/>
        </w:rPr>
        <w:t>иммунизация в г</w:t>
      </w:r>
      <w:proofErr w:type="gramStart"/>
      <w:r w:rsidRPr="00A33886">
        <w:rPr>
          <w:b/>
          <w:bCs/>
        </w:rPr>
        <w:t>.М</w:t>
      </w:r>
      <w:proofErr w:type="gramEnd"/>
      <w:r w:rsidRPr="00A33886">
        <w:rPr>
          <w:b/>
          <w:bCs/>
        </w:rPr>
        <w:t>огилеве за 2007-2008гг. в сравнении с целевыми показателями к 2010г.</w:t>
      </w:r>
    </w:p>
    <w:p w:rsidR="00E32225" w:rsidRDefault="00E32225" w:rsidP="00E32225">
      <w:pPr>
        <w:pStyle w:val="a3"/>
        <w:ind w:right="-2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32225" w:rsidRDefault="00E32225" w:rsidP="00E32225">
      <w:pPr>
        <w:pStyle w:val="a3"/>
        <w:ind w:right="-2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CC5B26">
        <w:rPr>
          <w:b w:val="0"/>
          <w:sz w:val="24"/>
          <w:szCs w:val="24"/>
        </w:rPr>
        <w:t>Не зарегистрировано случаев столбняка, полиомиелита, кори, дифтерии. По сравнению с прошлым годом снизилась заболеваемость эпидемическим паротитом (на 30,6%), коклюшем (на 27,8%), вирусным гепатитом</w:t>
      </w:r>
      <w:proofErr w:type="gramStart"/>
      <w:r w:rsidRPr="00CC5B26">
        <w:rPr>
          <w:b w:val="0"/>
          <w:sz w:val="24"/>
          <w:szCs w:val="24"/>
        </w:rPr>
        <w:t xml:space="preserve"> В</w:t>
      </w:r>
      <w:proofErr w:type="gramEnd"/>
      <w:r w:rsidRPr="00CC5B26">
        <w:rPr>
          <w:b w:val="0"/>
          <w:sz w:val="24"/>
          <w:szCs w:val="24"/>
        </w:rPr>
        <w:t xml:space="preserve"> (на 30,2%).  Случай краснухи выявлен у не привитого против данной инфекции взрослого</w:t>
      </w:r>
      <w:r>
        <w:rPr>
          <w:b w:val="0"/>
          <w:sz w:val="24"/>
          <w:szCs w:val="24"/>
        </w:rPr>
        <w:t xml:space="preserve"> (рис. 54)</w:t>
      </w:r>
      <w:r w:rsidRPr="00CC5B2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E32225" w:rsidRDefault="00E32225" w:rsidP="00E32225">
      <w:pPr>
        <w:pStyle w:val="a3"/>
        <w:ind w:right="-2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72100" cy="32670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2225" w:rsidRDefault="00E32225" w:rsidP="00E32225">
      <w:pPr>
        <w:pStyle w:val="a3"/>
        <w:ind w:right="-2"/>
        <w:rPr>
          <w:bCs/>
          <w:sz w:val="20"/>
        </w:rPr>
      </w:pPr>
      <w:r>
        <w:rPr>
          <w:bCs/>
          <w:sz w:val="20"/>
        </w:rPr>
        <w:t xml:space="preserve">               </w:t>
      </w:r>
      <w:r w:rsidRPr="00A33886">
        <w:rPr>
          <w:bCs/>
          <w:sz w:val="20"/>
        </w:rPr>
        <w:t>Рис</w:t>
      </w:r>
      <w:r>
        <w:rPr>
          <w:bCs/>
          <w:sz w:val="20"/>
        </w:rPr>
        <w:t>.</w:t>
      </w:r>
      <w:r w:rsidRPr="00A33886">
        <w:rPr>
          <w:bCs/>
          <w:sz w:val="20"/>
        </w:rPr>
        <w:t xml:space="preserve"> </w:t>
      </w:r>
      <w:r>
        <w:rPr>
          <w:bCs/>
          <w:sz w:val="20"/>
        </w:rPr>
        <w:t>54</w:t>
      </w:r>
      <w:r w:rsidRPr="00A33886">
        <w:rPr>
          <w:bCs/>
          <w:sz w:val="20"/>
        </w:rPr>
        <w:t>. Динамика заболеваемости  населения г</w:t>
      </w:r>
      <w:proofErr w:type="gramStart"/>
      <w:r w:rsidRPr="00A33886">
        <w:rPr>
          <w:bCs/>
          <w:sz w:val="20"/>
        </w:rPr>
        <w:t>.М</w:t>
      </w:r>
      <w:proofErr w:type="gramEnd"/>
      <w:r w:rsidRPr="00A33886">
        <w:rPr>
          <w:bCs/>
          <w:sz w:val="20"/>
        </w:rPr>
        <w:t xml:space="preserve">огилева краснухой и эпидемическим </w:t>
      </w:r>
    </w:p>
    <w:p w:rsidR="00E32225" w:rsidRPr="00A33886" w:rsidRDefault="00E32225" w:rsidP="00E32225">
      <w:pPr>
        <w:pStyle w:val="a3"/>
        <w:ind w:right="-2"/>
        <w:rPr>
          <w:b w:val="0"/>
          <w:sz w:val="20"/>
        </w:rPr>
      </w:pPr>
      <w:r>
        <w:rPr>
          <w:bCs/>
          <w:sz w:val="20"/>
        </w:rPr>
        <w:t xml:space="preserve">                               </w:t>
      </w:r>
      <w:r w:rsidRPr="00A33886">
        <w:rPr>
          <w:bCs/>
          <w:sz w:val="20"/>
        </w:rPr>
        <w:t xml:space="preserve">паротитом, </w:t>
      </w:r>
      <w:r>
        <w:rPr>
          <w:bCs/>
          <w:sz w:val="20"/>
        </w:rPr>
        <w:t>к</w:t>
      </w:r>
      <w:r w:rsidRPr="00A33886">
        <w:rPr>
          <w:bCs/>
          <w:sz w:val="20"/>
        </w:rPr>
        <w:t>оклюшем в сравнении  с областными  показателями  за  2002-2008 гг</w:t>
      </w:r>
      <w:proofErr w:type="gramStart"/>
      <w:r w:rsidRPr="00A33886">
        <w:rPr>
          <w:b w:val="0"/>
          <w:bCs/>
          <w:sz w:val="20"/>
        </w:rPr>
        <w:t>..</w:t>
      </w:r>
      <w:proofErr w:type="gramEnd"/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рамках программы искоренения полиомиелита показатель выя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ления острых вялых параличей (ОВП) почти в 4 раза превосходит оптимальный  (2 случая – 3,98 на 100 тыс. детей при нормативе не менее 1).</w:t>
      </w:r>
    </w:p>
    <w:p w:rsidR="00E32225" w:rsidRPr="00CC5B26" w:rsidRDefault="00E32225" w:rsidP="00E32225">
      <w:pPr>
        <w:pStyle w:val="a3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CC5B26">
        <w:rPr>
          <w:b w:val="0"/>
          <w:sz w:val="24"/>
          <w:szCs w:val="24"/>
        </w:rPr>
        <w:t xml:space="preserve">С целью изучения целесообразности введения плановой иммунизации против </w:t>
      </w:r>
      <w:proofErr w:type="spellStart"/>
      <w:r w:rsidRPr="00CC5B26">
        <w:rPr>
          <w:sz w:val="24"/>
          <w:szCs w:val="24"/>
        </w:rPr>
        <w:t>Хиб-инфекции</w:t>
      </w:r>
      <w:proofErr w:type="spellEnd"/>
      <w:r w:rsidRPr="00CC5B26">
        <w:rPr>
          <w:sz w:val="24"/>
          <w:szCs w:val="24"/>
        </w:rPr>
        <w:t>, в</w:t>
      </w:r>
      <w:r w:rsidRPr="00CC5B26">
        <w:rPr>
          <w:b w:val="0"/>
          <w:sz w:val="24"/>
          <w:szCs w:val="24"/>
        </w:rPr>
        <w:t xml:space="preserve">ызывающей тяжелые  менингиты, </w:t>
      </w:r>
      <w:proofErr w:type="spellStart"/>
      <w:r w:rsidRPr="00CC5B26">
        <w:rPr>
          <w:b w:val="0"/>
          <w:sz w:val="24"/>
          <w:szCs w:val="24"/>
        </w:rPr>
        <w:t>эпиглотиты</w:t>
      </w:r>
      <w:proofErr w:type="spellEnd"/>
      <w:r w:rsidRPr="00CC5B26">
        <w:rPr>
          <w:b w:val="0"/>
          <w:sz w:val="24"/>
          <w:szCs w:val="24"/>
        </w:rPr>
        <w:t xml:space="preserve">, в 2008 году в городе </w:t>
      </w:r>
      <w:r w:rsidRPr="00CC5B26">
        <w:rPr>
          <w:sz w:val="24"/>
          <w:szCs w:val="24"/>
        </w:rPr>
        <w:t>начат совместный проект с городом Минском</w:t>
      </w:r>
      <w:r w:rsidRPr="00CC5B26">
        <w:rPr>
          <w:b w:val="0"/>
          <w:sz w:val="24"/>
          <w:szCs w:val="24"/>
        </w:rPr>
        <w:t xml:space="preserve"> по внедрению мониторинга за эпидемическим процессом и эффективной тактики профилактических и противоэпидемических мероприятий.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Среди неуправляемых средствами иммунопрофилактики инфекций с воздушно-капельным механизмом передачи обращают на себя внимание, такие  как менингококковая инфекция, скарлатина, инфекционный мононуклеоз, показатели </w:t>
      </w:r>
      <w:proofErr w:type="gramStart"/>
      <w:r>
        <w:rPr>
          <w:rFonts w:ascii="Times New Roman" w:hAnsi="Times New Roman"/>
          <w:sz w:val="24"/>
        </w:rPr>
        <w:t>заболеваемости</w:t>
      </w:r>
      <w:proofErr w:type="gramEnd"/>
      <w:r>
        <w:rPr>
          <w:rFonts w:ascii="Times New Roman" w:hAnsi="Times New Roman"/>
          <w:sz w:val="24"/>
        </w:rPr>
        <w:t xml:space="preserve"> которыми существенно превышают уровень прошлого года (соответственно в 1,99 раз, в 1,52 раза, в 1,59 раз) 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Зарегистрировано 16 случаев менингококковой инфекции, что составляет 4,32 на 100 тыс. населения и превышает областной показатель в 1.54 раза. Среди </w:t>
      </w:r>
      <w:proofErr w:type="gramStart"/>
      <w:r>
        <w:rPr>
          <w:rFonts w:ascii="Times New Roman" w:hAnsi="Times New Roman"/>
          <w:sz w:val="24"/>
        </w:rPr>
        <w:t>заболевших</w:t>
      </w:r>
      <w:proofErr w:type="gramEnd"/>
      <w:r>
        <w:rPr>
          <w:rFonts w:ascii="Times New Roman" w:hAnsi="Times New Roman"/>
          <w:sz w:val="24"/>
        </w:rPr>
        <w:t xml:space="preserve">  81,3% -  дети. Летальность составила 6,25% (умер 1 ребенок) при средне республиканском показателе 3,8% (рис.55).</w:t>
      </w:r>
    </w:p>
    <w:p w:rsidR="00E32225" w:rsidRDefault="00E32225" w:rsidP="00E32225">
      <w:pPr>
        <w:pStyle w:val="a5"/>
        <w:jc w:val="center"/>
        <w:rPr>
          <w:rFonts w:ascii="Times New Roman" w:hAnsi="Times New Roman"/>
          <w:sz w:val="24"/>
          <w:lang w:val="en-US"/>
        </w:rPr>
      </w:pPr>
      <w:r w:rsidRPr="0062506C">
        <w:rPr>
          <w:b/>
          <w:sz w:val="24"/>
          <w:szCs w:val="24"/>
        </w:rPr>
        <w:object w:dxaOrig="91" w:dyaOrig="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219.75pt" o:ole="">
            <v:imagedata r:id="rId16" o:title=""/>
          </v:shape>
          <o:OLEObject Type="Embed" ProgID="PowerPoint.Slide.12" ShapeID="_x0000_i1025" DrawAspect="Content" ObjectID="_1309358642" r:id="rId17"/>
        </w:object>
      </w:r>
    </w:p>
    <w:p w:rsidR="00E32225" w:rsidRPr="003063D6" w:rsidRDefault="00E32225" w:rsidP="00E32225">
      <w:pPr>
        <w:pStyle w:val="a5"/>
        <w:jc w:val="both"/>
        <w:rPr>
          <w:rFonts w:ascii="Times New Roman" w:hAnsi="Times New Roman"/>
          <w:sz w:val="24"/>
          <w:lang w:val="en-US"/>
        </w:rPr>
      </w:pPr>
    </w:p>
    <w:p w:rsidR="00E32225" w:rsidRPr="00AC1E66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</w:t>
      </w:r>
      <w:r w:rsidRPr="00AC1E66">
        <w:rPr>
          <w:rFonts w:ascii="Times New Roman" w:hAnsi="Times New Roman"/>
          <w:b/>
        </w:rPr>
        <w:t>Рис. 55. Сравнительный анализ заболеваемости населения менингококковой инфекции</w:t>
      </w: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Группой риска по скарлатине остаются дети, посещающие детские дошкольные учреждения, составляющие среди заболевших 90,73%. Вовлечено в </w:t>
      </w:r>
      <w:proofErr w:type="spellStart"/>
      <w:r>
        <w:rPr>
          <w:rFonts w:ascii="Times New Roman" w:hAnsi="Times New Roman"/>
          <w:sz w:val="24"/>
        </w:rPr>
        <w:t>эпидпроцесс</w:t>
      </w:r>
      <w:proofErr w:type="spellEnd"/>
      <w:r>
        <w:rPr>
          <w:rFonts w:ascii="Times New Roman" w:hAnsi="Times New Roman"/>
          <w:sz w:val="24"/>
        </w:rPr>
        <w:t xml:space="preserve"> 73,9% детских дошкольных учреждений, в т.ч. более чем в 50% из них регистрировались повторные, связанные между  собой </w:t>
      </w:r>
      <w:proofErr w:type="spellStart"/>
      <w:r>
        <w:rPr>
          <w:rFonts w:ascii="Times New Roman" w:hAnsi="Times New Roman"/>
          <w:sz w:val="24"/>
        </w:rPr>
        <w:t>эпидемиологически</w:t>
      </w:r>
      <w:proofErr w:type="spellEnd"/>
      <w:r>
        <w:rPr>
          <w:rFonts w:ascii="Times New Roman" w:hAnsi="Times New Roman"/>
          <w:sz w:val="24"/>
        </w:rPr>
        <w:t>, случаи заболеваний.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567F">
        <w:rPr>
          <w:rFonts w:ascii="Times New Roman" w:hAnsi="Times New Roman"/>
          <w:sz w:val="24"/>
          <w:szCs w:val="24"/>
        </w:rPr>
        <w:t xml:space="preserve">          С 2004 года  </w:t>
      </w:r>
      <w:r>
        <w:rPr>
          <w:rFonts w:ascii="Times New Roman" w:hAnsi="Times New Roman"/>
          <w:sz w:val="24"/>
          <w:szCs w:val="24"/>
        </w:rPr>
        <w:t xml:space="preserve">ВГА стал управляемой инфекцией: </w:t>
      </w:r>
      <w:r w:rsidRPr="005C567F">
        <w:rPr>
          <w:rFonts w:ascii="Times New Roman" w:hAnsi="Times New Roman"/>
          <w:sz w:val="24"/>
          <w:szCs w:val="24"/>
        </w:rPr>
        <w:t>продолжа</w:t>
      </w:r>
      <w:r>
        <w:rPr>
          <w:rFonts w:ascii="Times New Roman" w:hAnsi="Times New Roman"/>
          <w:sz w:val="24"/>
          <w:szCs w:val="24"/>
        </w:rPr>
        <w:t xml:space="preserve">ющаяся </w:t>
      </w:r>
      <w:r w:rsidRPr="005C567F">
        <w:rPr>
          <w:rFonts w:ascii="Times New Roman" w:hAnsi="Times New Roman"/>
          <w:sz w:val="24"/>
          <w:szCs w:val="24"/>
        </w:rPr>
        <w:t xml:space="preserve">в текущем году иммунизация против ВГА учащихся 1 классов и контактных детей в возрасте до 18 лет в организованных коллективах и домашних очагах позволила </w:t>
      </w:r>
      <w:r>
        <w:rPr>
          <w:rFonts w:ascii="Times New Roman" w:hAnsi="Times New Roman"/>
          <w:sz w:val="24"/>
          <w:szCs w:val="24"/>
        </w:rPr>
        <w:t xml:space="preserve">избежать </w:t>
      </w:r>
      <w:r w:rsidRPr="005C567F">
        <w:rPr>
          <w:rFonts w:ascii="Times New Roman" w:hAnsi="Times New Roman"/>
          <w:sz w:val="24"/>
          <w:szCs w:val="24"/>
        </w:rPr>
        <w:t>заболеваемост</w:t>
      </w:r>
      <w:r>
        <w:rPr>
          <w:rFonts w:ascii="Times New Roman" w:hAnsi="Times New Roman"/>
          <w:sz w:val="24"/>
          <w:szCs w:val="24"/>
        </w:rPr>
        <w:t>и</w:t>
      </w:r>
      <w:r w:rsidRPr="005C567F">
        <w:rPr>
          <w:rFonts w:ascii="Times New Roman" w:hAnsi="Times New Roman"/>
          <w:sz w:val="24"/>
          <w:szCs w:val="24"/>
        </w:rPr>
        <w:t xml:space="preserve">  детей </w:t>
      </w:r>
      <w:r>
        <w:rPr>
          <w:rFonts w:ascii="Times New Roman" w:hAnsi="Times New Roman"/>
          <w:sz w:val="24"/>
          <w:szCs w:val="24"/>
        </w:rPr>
        <w:t>и подростков</w:t>
      </w:r>
      <w:r w:rsidRPr="005C5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регистрации повторных случаев заболеваний в очагах</w:t>
      </w:r>
      <w:r w:rsidRPr="005C567F">
        <w:rPr>
          <w:rFonts w:ascii="Times New Roman" w:hAnsi="Times New Roman"/>
          <w:sz w:val="24"/>
          <w:szCs w:val="24"/>
        </w:rPr>
        <w:t xml:space="preserve"> (рис.</w:t>
      </w:r>
      <w:r>
        <w:rPr>
          <w:rFonts w:ascii="Times New Roman" w:hAnsi="Times New Roman"/>
          <w:sz w:val="24"/>
          <w:szCs w:val="24"/>
        </w:rPr>
        <w:t>56</w:t>
      </w:r>
      <w:r w:rsidRPr="005C5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2225" w:rsidRDefault="00E32225" w:rsidP="00E32225">
      <w:pPr>
        <w:pStyle w:val="a5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5372100" cy="31146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23"/>
        <w:ind w:left="851" w:hanging="425"/>
        <w:jc w:val="center"/>
        <w:rPr>
          <w:b/>
        </w:rPr>
      </w:pPr>
      <w:r w:rsidRPr="00B577A0">
        <w:rPr>
          <w:b/>
        </w:rPr>
        <w:t xml:space="preserve">Рис. </w:t>
      </w:r>
      <w:r>
        <w:rPr>
          <w:b/>
        </w:rPr>
        <w:t>56</w:t>
      </w:r>
      <w:r w:rsidRPr="00B577A0">
        <w:rPr>
          <w:b/>
        </w:rPr>
        <w:t>. Динамика заболеваем</w:t>
      </w:r>
      <w:r>
        <w:rPr>
          <w:b/>
        </w:rPr>
        <w:t>ости вирусным гепатитам</w:t>
      </w:r>
      <w:proofErr w:type="gramStart"/>
      <w:r>
        <w:rPr>
          <w:b/>
        </w:rPr>
        <w:t xml:space="preserve"> А</w:t>
      </w:r>
      <w:proofErr w:type="gramEnd"/>
      <w:r w:rsidRPr="00B577A0">
        <w:rPr>
          <w:b/>
        </w:rPr>
        <w:t xml:space="preserve"> населения  г. Могилёва  1987-2008гг.</w:t>
      </w:r>
    </w:p>
    <w:p w:rsidR="00E32225" w:rsidRPr="00921ED2" w:rsidRDefault="00E32225" w:rsidP="00E32225">
      <w:pPr>
        <w:pStyle w:val="23"/>
        <w:ind w:left="851" w:hanging="425"/>
        <w:jc w:val="center"/>
        <w:rPr>
          <w:b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заболеваемости в 2 раза по сравнению с прошлым годом обусловлен регистрацией 8-ми случаев заболеваний среди взрослых.   </w:t>
      </w:r>
    </w:p>
    <w:p w:rsidR="00E32225" w:rsidRPr="00921ED2" w:rsidRDefault="00E32225" w:rsidP="00E32225">
      <w:pPr>
        <w:pStyle w:val="23"/>
        <w:ind w:left="851" w:hanging="425"/>
        <w:rPr>
          <w:b/>
        </w:rPr>
      </w:pPr>
    </w:p>
    <w:p w:rsidR="00E32225" w:rsidRPr="009F5C5A" w:rsidRDefault="00E32225" w:rsidP="00E32225">
      <w:pPr>
        <w:pStyle w:val="23"/>
        <w:ind w:left="851" w:hanging="425"/>
        <w:jc w:val="center"/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4525326" cy="2480520"/>
            <wp:effectExtent l="12066" t="5505" r="6033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2225" w:rsidRPr="009F5C5A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B577A0">
        <w:rPr>
          <w:rFonts w:ascii="Times New Roman" w:hAnsi="Times New Roman"/>
          <w:b/>
        </w:rPr>
        <w:t xml:space="preserve">Рис. </w:t>
      </w:r>
      <w:r>
        <w:rPr>
          <w:rFonts w:ascii="Times New Roman" w:hAnsi="Times New Roman"/>
          <w:b/>
        </w:rPr>
        <w:t>57.</w:t>
      </w:r>
      <w:r w:rsidRPr="00B577A0">
        <w:rPr>
          <w:rFonts w:ascii="Times New Roman" w:hAnsi="Times New Roman"/>
          <w:b/>
        </w:rPr>
        <w:t xml:space="preserve"> Динамика заболеваемости вирусными гепатитами</w:t>
      </w:r>
      <w:proofErr w:type="gramStart"/>
      <w:r w:rsidRPr="00B577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и С </w:t>
      </w:r>
      <w:r w:rsidRPr="00B577A0">
        <w:rPr>
          <w:rFonts w:ascii="Times New Roman" w:hAnsi="Times New Roman"/>
          <w:b/>
        </w:rPr>
        <w:t xml:space="preserve">населения </w:t>
      </w:r>
    </w:p>
    <w:p w:rsidR="00E32225" w:rsidRPr="00B577A0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</w:t>
      </w:r>
      <w:r w:rsidRPr="00B577A0">
        <w:rPr>
          <w:rFonts w:ascii="Times New Roman" w:hAnsi="Times New Roman"/>
          <w:b/>
        </w:rPr>
        <w:t>г. Могилёва 19</w:t>
      </w:r>
      <w:r>
        <w:rPr>
          <w:rFonts w:ascii="Times New Roman" w:hAnsi="Times New Roman"/>
          <w:b/>
        </w:rPr>
        <w:t>8</w:t>
      </w:r>
      <w:r w:rsidRPr="00B577A0">
        <w:rPr>
          <w:rFonts w:ascii="Times New Roman" w:hAnsi="Times New Roman"/>
          <w:b/>
        </w:rPr>
        <w:t>7 – 2008 гг.</w:t>
      </w:r>
    </w:p>
    <w:p w:rsidR="00E32225" w:rsidRPr="005C567F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Default="00E32225" w:rsidP="00E32225">
      <w:pPr>
        <w:pStyle w:val="a3"/>
        <w:ind w:right="-2"/>
        <w:rPr>
          <w:b w:val="0"/>
          <w:sz w:val="24"/>
          <w:szCs w:val="24"/>
        </w:rPr>
      </w:pPr>
      <w:r w:rsidRPr="005C567F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>Уровень заболеваемости парентеральными вирусными гепатитами ниже уровня прошлого года на 22,2 % за счет снижения заболеваемости  ВГВ на 44,7% (рис. 57). Болеют взрослые. «Группой риска» остается наиболее активная в половом и социальном плане возрастная группа 20-29 лет, удельный вес которой среди заболевших составляет 42,9%, частота заболеваний (4,22 на 100 тыс. населения)  в 2.2 раза выше, чем в целом по городу.</w:t>
      </w:r>
    </w:p>
    <w:p w:rsidR="00E32225" w:rsidRDefault="00E32225" w:rsidP="00E32225">
      <w:pPr>
        <w:pStyle w:val="23"/>
        <w:ind w:firstLine="709"/>
        <w:rPr>
          <w:sz w:val="24"/>
        </w:rPr>
      </w:pPr>
      <w:r>
        <w:rPr>
          <w:noProof/>
          <w:sz w:val="24"/>
        </w:rPr>
        <w:pict>
          <v:shape id="_x0000_s1035" type="#_x0000_t75" style="position:absolute;left:0;text-align:left;margin-left:9pt;margin-top:42.4pt;width:586.9pt;height:217.9pt;z-index:251669504">
            <v:imagedata r:id="rId20" o:title=""/>
            <w10:wrap type="topAndBottom"/>
          </v:shape>
          <o:OLEObject Type="Embed" ProgID="Excel.Sheet.8" ShapeID="_x0000_s1035" DrawAspect="Content" ObjectID="_1309358644" r:id="rId21"/>
        </w:pict>
      </w:r>
      <w:r w:rsidRPr="00C32D83">
        <w:rPr>
          <w:sz w:val="24"/>
        </w:rPr>
        <w:t>Основными источниками остаются хронические больные и носители, регистрация которых ежегодно во</w:t>
      </w:r>
      <w:r w:rsidRPr="00C32D83">
        <w:t xml:space="preserve"> </w:t>
      </w:r>
      <w:r w:rsidRPr="00C32D83">
        <w:rPr>
          <w:sz w:val="24"/>
        </w:rPr>
        <w:t xml:space="preserve">много раз превышает показатели </w:t>
      </w:r>
      <w:proofErr w:type="spellStart"/>
      <w:r w:rsidRPr="00C32D83">
        <w:rPr>
          <w:sz w:val="24"/>
        </w:rPr>
        <w:t>выявляемости</w:t>
      </w:r>
      <w:proofErr w:type="spellEnd"/>
      <w:r w:rsidRPr="00C32D83">
        <w:rPr>
          <w:sz w:val="24"/>
        </w:rPr>
        <w:t xml:space="preserve"> острого гепатита, особе</w:t>
      </w:r>
      <w:r w:rsidRPr="00C32D83">
        <w:rPr>
          <w:sz w:val="24"/>
        </w:rPr>
        <w:t>н</w:t>
      </w:r>
      <w:r w:rsidRPr="00C32D83">
        <w:rPr>
          <w:sz w:val="24"/>
        </w:rPr>
        <w:t>но при гепатите</w:t>
      </w:r>
      <w:proofErr w:type="gramStart"/>
      <w:r w:rsidRPr="00C32D83">
        <w:t xml:space="preserve"> </w:t>
      </w:r>
      <w:r w:rsidRPr="00C32D83">
        <w:rPr>
          <w:sz w:val="24"/>
        </w:rPr>
        <w:t>С</w:t>
      </w:r>
      <w:proofErr w:type="gramEnd"/>
      <w:r w:rsidRPr="00C32D83">
        <w:rPr>
          <w:sz w:val="24"/>
        </w:rPr>
        <w:t xml:space="preserve"> (рис.</w:t>
      </w:r>
      <w:r>
        <w:rPr>
          <w:sz w:val="24"/>
        </w:rPr>
        <w:t>58</w:t>
      </w:r>
      <w:r w:rsidRPr="00C32D83">
        <w:rPr>
          <w:sz w:val="24"/>
        </w:rPr>
        <w:t>).</w:t>
      </w:r>
    </w:p>
    <w:p w:rsidR="00E32225" w:rsidRDefault="00E32225" w:rsidP="00E32225">
      <w:pPr>
        <w:pStyle w:val="23"/>
        <w:ind w:firstLine="0"/>
        <w:rPr>
          <w:b/>
        </w:rPr>
      </w:pPr>
      <w:r>
        <w:rPr>
          <w:b/>
        </w:rPr>
        <w:t xml:space="preserve">                                </w:t>
      </w:r>
      <w:r w:rsidRPr="004220D9">
        <w:rPr>
          <w:b/>
        </w:rPr>
        <w:t xml:space="preserve">Рис. </w:t>
      </w:r>
      <w:r>
        <w:rPr>
          <w:b/>
        </w:rPr>
        <w:t>5</w:t>
      </w:r>
      <w:r w:rsidRPr="004220D9">
        <w:rPr>
          <w:b/>
        </w:rPr>
        <w:t xml:space="preserve">8.  Сравнительная динамика заболеваемости ВГС, ХВГС и носительством </w:t>
      </w:r>
    </w:p>
    <w:p w:rsidR="00E32225" w:rsidRDefault="00E32225" w:rsidP="00E32225">
      <w:pPr>
        <w:pStyle w:val="23"/>
        <w:ind w:firstLine="0"/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 w:rsidRPr="004220D9">
        <w:rPr>
          <w:b/>
          <w:lang w:val="en-US"/>
        </w:rPr>
        <w:t>a</w:t>
      </w:r>
      <w:r w:rsidRPr="004220D9">
        <w:rPr>
          <w:b/>
        </w:rPr>
        <w:t>\</w:t>
      </w:r>
      <w:r w:rsidRPr="004220D9">
        <w:rPr>
          <w:b/>
          <w:lang w:val="en-US"/>
        </w:rPr>
        <w:t>HCV</w:t>
      </w:r>
      <w:r w:rsidRPr="004220D9">
        <w:rPr>
          <w:b/>
        </w:rPr>
        <w:t xml:space="preserve">   населения г.</w:t>
      </w:r>
      <w:proofErr w:type="gramEnd"/>
      <w:r w:rsidRPr="004220D9">
        <w:rPr>
          <w:b/>
        </w:rPr>
        <w:t xml:space="preserve">  Могилёва 1998-2008гг.</w:t>
      </w:r>
      <w:r w:rsidRPr="004220D9">
        <w:rPr>
          <w:b/>
        </w:rPr>
        <w:tab/>
      </w:r>
    </w:p>
    <w:p w:rsidR="00E32225" w:rsidRPr="00C32D83" w:rsidRDefault="00E32225" w:rsidP="00E32225">
      <w:pPr>
        <w:pStyle w:val="23"/>
        <w:ind w:firstLine="0"/>
        <w:rPr>
          <w:sz w:val="24"/>
        </w:rPr>
      </w:pPr>
    </w:p>
    <w:p w:rsidR="00E32225" w:rsidRPr="001E2994" w:rsidRDefault="00E32225" w:rsidP="00E32225">
      <w:pPr>
        <w:ind w:firstLine="709"/>
        <w:jc w:val="both"/>
        <w:rPr>
          <w:color w:val="000000"/>
          <w:sz w:val="24"/>
        </w:rPr>
      </w:pPr>
      <w:r w:rsidRPr="00C32D83">
        <w:rPr>
          <w:sz w:val="24"/>
        </w:rPr>
        <w:t xml:space="preserve">Всего выявлено в 2008 году  носителей, в т.ч. носителей </w:t>
      </w:r>
      <w:proofErr w:type="gramStart"/>
      <w:r w:rsidRPr="00C32D83">
        <w:rPr>
          <w:sz w:val="24"/>
        </w:rPr>
        <w:t>Н</w:t>
      </w:r>
      <w:proofErr w:type="spellStart"/>
      <w:proofErr w:type="gramEnd"/>
      <w:r w:rsidRPr="00C32D83">
        <w:rPr>
          <w:sz w:val="24"/>
          <w:lang w:val="en-US"/>
        </w:rPr>
        <w:t>bsAg</w:t>
      </w:r>
      <w:proofErr w:type="spellEnd"/>
      <w:r w:rsidRPr="00C32D83">
        <w:rPr>
          <w:sz w:val="24"/>
        </w:rPr>
        <w:t xml:space="preserve"> – 48 человек, нос</w:t>
      </w:r>
      <w:r w:rsidRPr="00C32D83">
        <w:rPr>
          <w:sz w:val="24"/>
        </w:rPr>
        <w:t>и</w:t>
      </w:r>
      <w:r w:rsidRPr="00C32D83">
        <w:rPr>
          <w:sz w:val="24"/>
        </w:rPr>
        <w:t xml:space="preserve">телей </w:t>
      </w:r>
      <w:proofErr w:type="spellStart"/>
      <w:r w:rsidRPr="00C32D83">
        <w:rPr>
          <w:sz w:val="24"/>
        </w:rPr>
        <w:t>антиНС</w:t>
      </w:r>
      <w:proofErr w:type="spellEnd"/>
      <w:r w:rsidRPr="00C32D83">
        <w:rPr>
          <w:sz w:val="24"/>
          <w:lang w:val="en-US"/>
        </w:rPr>
        <w:t>V</w:t>
      </w:r>
      <w:r w:rsidRPr="00C32D83">
        <w:rPr>
          <w:sz w:val="24"/>
        </w:rPr>
        <w:t xml:space="preserve"> – 200</w:t>
      </w:r>
      <w:r w:rsidRPr="001E2994">
        <w:rPr>
          <w:color w:val="000000"/>
          <w:sz w:val="24"/>
        </w:rPr>
        <w:t xml:space="preserve">.  На 1.01.09г.  на пожизненном учете в ЛПО </w:t>
      </w:r>
      <w:r>
        <w:rPr>
          <w:color w:val="000000"/>
          <w:sz w:val="24"/>
        </w:rPr>
        <w:t>состоит</w:t>
      </w:r>
      <w:r w:rsidRPr="001E2994">
        <w:rPr>
          <w:color w:val="000000"/>
          <w:sz w:val="24"/>
        </w:rPr>
        <w:t xml:space="preserve"> 1132</w:t>
      </w:r>
      <w:r>
        <w:rPr>
          <w:color w:val="000000"/>
          <w:sz w:val="24"/>
        </w:rPr>
        <w:t xml:space="preserve"> </w:t>
      </w:r>
      <w:r w:rsidRPr="001E2994">
        <w:rPr>
          <w:color w:val="000000"/>
          <w:sz w:val="24"/>
        </w:rPr>
        <w:t>хронических больных вирусным гепатитом, из них вновь выявлено в 2008 году –125 человек.</w:t>
      </w:r>
    </w:p>
    <w:p w:rsidR="00E32225" w:rsidRPr="00C32D83" w:rsidRDefault="00E32225" w:rsidP="00E32225">
      <w:pPr>
        <w:ind w:firstLine="709"/>
        <w:jc w:val="both"/>
        <w:rPr>
          <w:i/>
          <w:sz w:val="24"/>
        </w:rPr>
      </w:pPr>
      <w:proofErr w:type="gramStart"/>
      <w:r w:rsidRPr="00C32D83">
        <w:rPr>
          <w:sz w:val="24"/>
        </w:rPr>
        <w:lastRenderedPageBreak/>
        <w:t>Основной путь передачи, определяемый по острым формам, по-прежнему половой – 57,2%).</w:t>
      </w:r>
      <w:proofErr w:type="gramEnd"/>
      <w:r w:rsidRPr="00C32D83">
        <w:rPr>
          <w:b/>
          <w:sz w:val="24"/>
          <w:szCs w:val="24"/>
        </w:rPr>
        <w:t xml:space="preserve"> </w:t>
      </w:r>
      <w:r w:rsidRPr="00C32D83">
        <w:rPr>
          <w:sz w:val="24"/>
          <w:szCs w:val="24"/>
        </w:rPr>
        <w:t>Зарегистрирован случай профессионального инфицирования ВГС у медработника</w:t>
      </w:r>
      <w:r>
        <w:rPr>
          <w:i/>
          <w:sz w:val="24"/>
        </w:rPr>
        <w:t>.</w:t>
      </w:r>
      <w:r w:rsidRPr="00C32D83">
        <w:rPr>
          <w:i/>
          <w:sz w:val="24"/>
        </w:rPr>
        <w:t xml:space="preserve"> 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AC3875">
        <w:rPr>
          <w:rFonts w:ascii="Times New Roman" w:hAnsi="Times New Roman"/>
          <w:sz w:val="24"/>
        </w:rPr>
        <w:t>Сохраняется с 1998 года  тенденция к снижению</w:t>
      </w:r>
      <w:r>
        <w:rPr>
          <w:rFonts w:ascii="Times New Roman" w:hAnsi="Times New Roman"/>
          <w:sz w:val="24"/>
        </w:rPr>
        <w:t xml:space="preserve"> заболеваемости</w:t>
      </w:r>
      <w:r w:rsidRPr="00AC3875">
        <w:rPr>
          <w:rFonts w:ascii="Times New Roman" w:hAnsi="Times New Roman"/>
          <w:sz w:val="24"/>
        </w:rPr>
        <w:t xml:space="preserve"> венерическими инфекциями. Но по-прежнему регистрируемый уровень сифилиса  (18,62 на 100 тыс. населения) более чем в 37 раз пр</w:t>
      </w:r>
      <w:r w:rsidRPr="00AC3875">
        <w:rPr>
          <w:rFonts w:ascii="Times New Roman" w:hAnsi="Times New Roman"/>
          <w:sz w:val="24"/>
        </w:rPr>
        <w:t>е</w:t>
      </w:r>
      <w:r w:rsidRPr="00AC3875">
        <w:rPr>
          <w:rFonts w:ascii="Times New Roman" w:hAnsi="Times New Roman"/>
          <w:sz w:val="24"/>
        </w:rPr>
        <w:t xml:space="preserve">вышает заболеваемость </w:t>
      </w:r>
      <w:proofErr w:type="spellStart"/>
      <w:r w:rsidRPr="00AC3875">
        <w:rPr>
          <w:rFonts w:ascii="Times New Roman" w:hAnsi="Times New Roman"/>
          <w:sz w:val="24"/>
        </w:rPr>
        <w:t>предэпидемического</w:t>
      </w:r>
      <w:proofErr w:type="spellEnd"/>
      <w:r w:rsidRPr="00AC3875">
        <w:rPr>
          <w:rFonts w:ascii="Times New Roman" w:hAnsi="Times New Roman"/>
          <w:sz w:val="24"/>
        </w:rPr>
        <w:t xml:space="preserve"> периода (1988 год – показатель на 100 тыс. 0,5) (рис.</w:t>
      </w:r>
      <w:r>
        <w:rPr>
          <w:rFonts w:ascii="Times New Roman" w:hAnsi="Times New Roman"/>
          <w:sz w:val="24"/>
        </w:rPr>
        <w:t xml:space="preserve"> 59</w:t>
      </w:r>
      <w:r w:rsidRPr="00AC387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E32225" w:rsidRPr="00AC387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00600" cy="25812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32225" w:rsidRPr="008E5CFB" w:rsidRDefault="00E32225" w:rsidP="00E32225">
      <w:pPr>
        <w:pStyle w:val="a3"/>
        <w:ind w:firstLine="709"/>
        <w:rPr>
          <w:sz w:val="20"/>
        </w:rPr>
      </w:pPr>
      <w:r w:rsidRPr="008E5CFB">
        <w:rPr>
          <w:sz w:val="20"/>
        </w:rPr>
        <w:t xml:space="preserve">Рис. </w:t>
      </w:r>
      <w:r>
        <w:rPr>
          <w:sz w:val="20"/>
        </w:rPr>
        <w:t>59. Тенденция заболеваемости населения венерическими заболеваниями</w:t>
      </w:r>
    </w:p>
    <w:p w:rsidR="00E32225" w:rsidRPr="008E5CFB" w:rsidRDefault="00E32225" w:rsidP="00E32225">
      <w:pPr>
        <w:pStyle w:val="a3"/>
        <w:ind w:firstLine="709"/>
        <w:rPr>
          <w:sz w:val="20"/>
        </w:rPr>
      </w:pPr>
    </w:p>
    <w:p w:rsidR="00E32225" w:rsidRPr="002876EC" w:rsidRDefault="00E32225" w:rsidP="00E32225">
      <w:pPr>
        <w:pStyle w:val="a3"/>
        <w:ind w:firstLine="709"/>
        <w:rPr>
          <w:sz w:val="24"/>
        </w:rPr>
      </w:pPr>
      <w:r w:rsidRPr="00EA4E92">
        <w:rPr>
          <w:b w:val="0"/>
          <w:sz w:val="24"/>
        </w:rPr>
        <w:t xml:space="preserve">Из-за идентичности путей распространения выявление больных и носителей парентеральными вирусными гепатитами и </w:t>
      </w:r>
      <w:proofErr w:type="spellStart"/>
      <w:r w:rsidRPr="00EA4E92">
        <w:rPr>
          <w:b w:val="0"/>
          <w:sz w:val="24"/>
        </w:rPr>
        <w:t>венбольных</w:t>
      </w:r>
      <w:proofErr w:type="spellEnd"/>
      <w:r w:rsidRPr="00EA4E92">
        <w:rPr>
          <w:b w:val="0"/>
          <w:sz w:val="24"/>
        </w:rPr>
        <w:t xml:space="preserve">  может рассматриваться, как показатель в</w:t>
      </w:r>
      <w:r w:rsidRPr="00EA4E92">
        <w:rPr>
          <w:b w:val="0"/>
          <w:sz w:val="24"/>
        </w:rPr>
        <w:t>е</w:t>
      </w:r>
      <w:r w:rsidRPr="00EA4E92">
        <w:rPr>
          <w:b w:val="0"/>
          <w:sz w:val="24"/>
        </w:rPr>
        <w:t xml:space="preserve">роятности распространения ВИЧ-инфекции. </w:t>
      </w:r>
      <w:proofErr w:type="gramStart"/>
      <w:r w:rsidRPr="00EA4E92">
        <w:rPr>
          <w:b w:val="0"/>
          <w:sz w:val="24"/>
        </w:rPr>
        <w:t>На 1 января 200</w:t>
      </w:r>
      <w:r>
        <w:rPr>
          <w:b w:val="0"/>
          <w:sz w:val="24"/>
        </w:rPr>
        <w:t>9</w:t>
      </w:r>
      <w:r w:rsidRPr="00EA4E92">
        <w:rPr>
          <w:b w:val="0"/>
          <w:sz w:val="24"/>
        </w:rPr>
        <w:t xml:space="preserve"> года среди населения города по кумулятивным данным с 1987 года зарегистрирован </w:t>
      </w:r>
      <w:r>
        <w:rPr>
          <w:b w:val="0"/>
          <w:sz w:val="24"/>
        </w:rPr>
        <w:t xml:space="preserve">103 </w:t>
      </w:r>
      <w:r w:rsidRPr="00EA4E92">
        <w:rPr>
          <w:b w:val="0"/>
          <w:sz w:val="24"/>
        </w:rPr>
        <w:t>ВИЧ-инфицированны</w:t>
      </w:r>
      <w:r>
        <w:rPr>
          <w:b w:val="0"/>
          <w:sz w:val="24"/>
        </w:rPr>
        <w:t>х</w:t>
      </w:r>
      <w:r w:rsidRPr="00EA4E92">
        <w:rPr>
          <w:b w:val="0"/>
          <w:sz w:val="24"/>
        </w:rPr>
        <w:t xml:space="preserve">, </w:t>
      </w:r>
      <w:r>
        <w:rPr>
          <w:b w:val="0"/>
          <w:sz w:val="24"/>
        </w:rPr>
        <w:t>7</w:t>
      </w:r>
      <w:r w:rsidRPr="00EA4E92">
        <w:rPr>
          <w:b w:val="0"/>
          <w:sz w:val="24"/>
        </w:rPr>
        <w:t xml:space="preserve"> из них вновь выявлен</w:t>
      </w:r>
      <w:r>
        <w:rPr>
          <w:b w:val="0"/>
          <w:sz w:val="24"/>
        </w:rPr>
        <w:t>ы</w:t>
      </w:r>
      <w:r w:rsidRPr="00EA4E92">
        <w:rPr>
          <w:b w:val="0"/>
          <w:sz w:val="24"/>
        </w:rPr>
        <w:t xml:space="preserve"> в анализируемом году</w:t>
      </w:r>
      <w:r>
        <w:rPr>
          <w:b w:val="0"/>
          <w:sz w:val="24"/>
        </w:rPr>
        <w:t xml:space="preserve">, что составляет 12,1% </w:t>
      </w:r>
      <w:r w:rsidRPr="00EA4E92">
        <w:rPr>
          <w:b w:val="0"/>
          <w:sz w:val="24"/>
        </w:rPr>
        <w:t xml:space="preserve"> от зарегистрированных по области</w:t>
      </w:r>
      <w:r>
        <w:rPr>
          <w:b w:val="0"/>
          <w:sz w:val="24"/>
        </w:rPr>
        <w:t xml:space="preserve"> случаев</w:t>
      </w:r>
      <w:r w:rsidRPr="00EA4E92">
        <w:rPr>
          <w:b w:val="0"/>
          <w:sz w:val="24"/>
        </w:rPr>
        <w:t xml:space="preserve"> (рис.</w:t>
      </w:r>
      <w:r>
        <w:rPr>
          <w:b w:val="0"/>
          <w:sz w:val="24"/>
        </w:rPr>
        <w:t>60</w:t>
      </w:r>
      <w:r w:rsidRPr="00EA4E92">
        <w:rPr>
          <w:b w:val="0"/>
          <w:sz w:val="24"/>
        </w:rPr>
        <w:t>)</w:t>
      </w:r>
      <w:r>
        <w:rPr>
          <w:sz w:val="24"/>
        </w:rPr>
        <w:t>.</w:t>
      </w:r>
      <w:proofErr w:type="gramEnd"/>
    </w:p>
    <w:p w:rsidR="00E32225" w:rsidRDefault="00E32225" w:rsidP="00E32225">
      <w:pPr>
        <w:pStyle w:val="a3"/>
        <w:rPr>
          <w:sz w:val="24"/>
        </w:rPr>
      </w:pPr>
    </w:p>
    <w:p w:rsidR="00E32225" w:rsidRDefault="00E32225" w:rsidP="00E32225">
      <w:pPr>
        <w:pStyle w:val="a3"/>
        <w:ind w:firstLine="709"/>
        <w:rPr>
          <w:sz w:val="24"/>
        </w:rPr>
      </w:pPr>
    </w:p>
    <w:p w:rsidR="00E32225" w:rsidRDefault="00E32225" w:rsidP="00E32225">
      <w:pPr>
        <w:pStyle w:val="a3"/>
        <w:ind w:firstLine="7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64169" cy="2672793"/>
            <wp:effectExtent l="9238" t="3732" r="3368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2225" w:rsidRPr="00612803" w:rsidRDefault="00E32225" w:rsidP="00E32225">
      <w:pPr>
        <w:pStyle w:val="a3"/>
        <w:ind w:firstLine="709"/>
        <w:rPr>
          <w:sz w:val="24"/>
        </w:rPr>
      </w:pPr>
      <w:r>
        <w:rPr>
          <w:bCs/>
          <w:sz w:val="20"/>
        </w:rPr>
        <w:t xml:space="preserve">   </w:t>
      </w:r>
      <w:r w:rsidRPr="009B7E66">
        <w:rPr>
          <w:bCs/>
          <w:sz w:val="20"/>
        </w:rPr>
        <w:t>Рис. 60. Динамика</w:t>
      </w:r>
      <w:r>
        <w:rPr>
          <w:bCs/>
          <w:sz w:val="20"/>
        </w:rPr>
        <w:t xml:space="preserve"> заболеваемости населения</w:t>
      </w:r>
      <w:r w:rsidRPr="009B7E66">
        <w:rPr>
          <w:bCs/>
          <w:sz w:val="20"/>
        </w:rPr>
        <w:t xml:space="preserve"> ВИЧ</w:t>
      </w:r>
      <w:r>
        <w:rPr>
          <w:bCs/>
          <w:sz w:val="20"/>
        </w:rPr>
        <w:t>/СПИД по</w:t>
      </w:r>
      <w:r w:rsidRPr="009B7E66">
        <w:rPr>
          <w:bCs/>
          <w:sz w:val="20"/>
        </w:rPr>
        <w:t xml:space="preserve"> г</w:t>
      </w:r>
      <w:proofErr w:type="gramStart"/>
      <w:r w:rsidRPr="009B7E66">
        <w:rPr>
          <w:bCs/>
          <w:sz w:val="20"/>
        </w:rPr>
        <w:t>.М</w:t>
      </w:r>
      <w:proofErr w:type="gramEnd"/>
      <w:r w:rsidRPr="009B7E66">
        <w:rPr>
          <w:bCs/>
          <w:sz w:val="20"/>
        </w:rPr>
        <w:t>огилёву за 1995-2008гг</w:t>
      </w:r>
      <w:r w:rsidRPr="00612803">
        <w:rPr>
          <w:bCs/>
          <w:sz w:val="24"/>
        </w:rPr>
        <w:t>.</w:t>
      </w:r>
    </w:p>
    <w:p w:rsidR="00E32225" w:rsidRDefault="00E32225" w:rsidP="00E32225">
      <w:pPr>
        <w:pStyle w:val="a3"/>
        <w:ind w:firstLine="709"/>
        <w:rPr>
          <w:sz w:val="24"/>
        </w:rPr>
      </w:pPr>
    </w:p>
    <w:p w:rsidR="00E32225" w:rsidRPr="00EA4E92" w:rsidRDefault="00E32225" w:rsidP="00E32225">
      <w:pPr>
        <w:pStyle w:val="a3"/>
        <w:ind w:firstLine="709"/>
        <w:rPr>
          <w:b w:val="0"/>
          <w:sz w:val="24"/>
        </w:rPr>
      </w:pPr>
      <w:r w:rsidRPr="00EA4E92">
        <w:rPr>
          <w:b w:val="0"/>
          <w:sz w:val="24"/>
        </w:rPr>
        <w:t xml:space="preserve">Особенностями </w:t>
      </w:r>
      <w:proofErr w:type="spellStart"/>
      <w:r w:rsidRPr="00EA4E92">
        <w:rPr>
          <w:b w:val="0"/>
          <w:sz w:val="24"/>
        </w:rPr>
        <w:t>эпидпроцесса</w:t>
      </w:r>
      <w:proofErr w:type="spellEnd"/>
      <w:r w:rsidRPr="00EA4E92">
        <w:rPr>
          <w:b w:val="0"/>
          <w:sz w:val="24"/>
        </w:rPr>
        <w:t xml:space="preserve"> на настоящий момент является то, что увеличивается доля полового пути передачи, растет вовлеченность в </w:t>
      </w:r>
      <w:proofErr w:type="spellStart"/>
      <w:r w:rsidRPr="00EA4E92">
        <w:rPr>
          <w:b w:val="0"/>
          <w:sz w:val="24"/>
        </w:rPr>
        <w:t>эпидпроцесс</w:t>
      </w:r>
      <w:proofErr w:type="spellEnd"/>
      <w:r w:rsidRPr="00EA4E92">
        <w:rPr>
          <w:b w:val="0"/>
          <w:sz w:val="24"/>
        </w:rPr>
        <w:t xml:space="preserve"> </w:t>
      </w:r>
      <w:r>
        <w:rPr>
          <w:b w:val="0"/>
          <w:sz w:val="24"/>
        </w:rPr>
        <w:t>лиц старше 30-ти лет</w:t>
      </w:r>
      <w:r w:rsidRPr="00EA4E9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благополучным социальным статусом, </w:t>
      </w:r>
      <w:r w:rsidRPr="00EA4E92">
        <w:rPr>
          <w:b w:val="0"/>
          <w:sz w:val="24"/>
        </w:rPr>
        <w:t xml:space="preserve">женщин, увеличивается количество детей, </w:t>
      </w:r>
      <w:r w:rsidRPr="00EA4E92">
        <w:rPr>
          <w:b w:val="0"/>
          <w:sz w:val="24"/>
        </w:rPr>
        <w:lastRenderedPageBreak/>
        <w:t xml:space="preserve">рожденных от ВИЧ-инфицированных матерей, в т.ч. знавших свой ВИЧ-статус, </w:t>
      </w:r>
      <w:r>
        <w:rPr>
          <w:b w:val="0"/>
          <w:sz w:val="24"/>
        </w:rPr>
        <w:t xml:space="preserve">возрастает </w:t>
      </w:r>
      <w:r w:rsidRPr="00EA4E92">
        <w:rPr>
          <w:b w:val="0"/>
          <w:sz w:val="24"/>
        </w:rPr>
        <w:t xml:space="preserve">количество больных с клиническими проявлениями. </w:t>
      </w:r>
    </w:p>
    <w:p w:rsidR="00E32225" w:rsidRPr="00EA4E92" w:rsidRDefault="00E32225" w:rsidP="00E32225">
      <w:pPr>
        <w:pStyle w:val="a3"/>
        <w:ind w:firstLine="709"/>
        <w:rPr>
          <w:b w:val="0"/>
          <w:sz w:val="24"/>
        </w:rPr>
      </w:pPr>
      <w:r w:rsidRPr="00EA4E92">
        <w:rPr>
          <w:b w:val="0"/>
          <w:sz w:val="24"/>
        </w:rPr>
        <w:t>С 2007 года продолжает работу постоянно действующий шестичасовой семинар-тренинг для обучения представителей немедицинских организаций и учреждений.</w:t>
      </w:r>
      <w:r>
        <w:rPr>
          <w:b w:val="0"/>
          <w:sz w:val="24"/>
        </w:rPr>
        <w:t xml:space="preserve"> Обучено 230 человек.</w:t>
      </w:r>
    </w:p>
    <w:p w:rsidR="00E32225" w:rsidRPr="002A2BCB" w:rsidRDefault="00E32225" w:rsidP="00E32225">
      <w:pPr>
        <w:pStyle w:val="a3"/>
        <w:ind w:firstLine="709"/>
      </w:pPr>
      <w:r>
        <w:rPr>
          <w:b w:val="0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471805</wp:posOffset>
            </wp:positionV>
            <wp:extent cx="5800090" cy="3086100"/>
            <wp:effectExtent l="0" t="0" r="0" b="0"/>
            <wp:wrapNone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AC3875">
        <w:rPr>
          <w:b w:val="0"/>
          <w:sz w:val="24"/>
        </w:rPr>
        <w:t>Социально-экономическими факторами обусловлена и заболева</w:t>
      </w:r>
      <w:r w:rsidRPr="00AC3875">
        <w:rPr>
          <w:b w:val="0"/>
          <w:sz w:val="24"/>
        </w:rPr>
        <w:t>е</w:t>
      </w:r>
      <w:r w:rsidRPr="00AC3875">
        <w:rPr>
          <w:b w:val="0"/>
          <w:sz w:val="24"/>
        </w:rPr>
        <w:t>мость туберкулезом, выявляемая на уровне прошлого года и составляющая  42,36 случаев на 100 тыс. населения, что ниже областных показателей на 29%</w:t>
      </w:r>
      <w:r>
        <w:rPr>
          <w:b w:val="0"/>
          <w:sz w:val="24"/>
        </w:rPr>
        <w:t>. (рис.61).</w:t>
      </w: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Pr="00B659DF" w:rsidRDefault="00E32225" w:rsidP="00E32225">
      <w:pPr>
        <w:pStyle w:val="a3"/>
        <w:ind w:firstLine="709"/>
        <w:rPr>
          <w:b w:val="0"/>
          <w:sz w:val="24"/>
        </w:rPr>
      </w:pPr>
    </w:p>
    <w:p w:rsidR="00E32225" w:rsidRPr="00094A08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Cs/>
          <w:sz w:val="20"/>
        </w:rPr>
      </w:pPr>
      <w:r w:rsidRPr="00A750D1">
        <w:rPr>
          <w:sz w:val="20"/>
        </w:rPr>
        <w:t xml:space="preserve">Рис. </w:t>
      </w:r>
      <w:r>
        <w:rPr>
          <w:sz w:val="20"/>
        </w:rPr>
        <w:t xml:space="preserve">61. </w:t>
      </w:r>
      <w:r w:rsidRPr="00A750D1">
        <w:rPr>
          <w:bCs/>
          <w:sz w:val="20"/>
        </w:rPr>
        <w:t xml:space="preserve">Динамика заболеваемости туберкулезом населения </w:t>
      </w:r>
      <w:proofErr w:type="gramStart"/>
      <w:r w:rsidRPr="00A750D1">
        <w:rPr>
          <w:bCs/>
          <w:sz w:val="20"/>
        </w:rPr>
        <w:t>г</w:t>
      </w:r>
      <w:proofErr w:type="gramEnd"/>
      <w:r w:rsidRPr="00A750D1">
        <w:rPr>
          <w:bCs/>
          <w:sz w:val="20"/>
        </w:rPr>
        <w:t xml:space="preserve">. Могилёва </w:t>
      </w:r>
    </w:p>
    <w:p w:rsidR="00E32225" w:rsidRPr="002A2BCB" w:rsidRDefault="00E32225" w:rsidP="00E32225">
      <w:pPr>
        <w:pStyle w:val="a3"/>
        <w:ind w:firstLine="709"/>
        <w:rPr>
          <w:sz w:val="20"/>
        </w:rPr>
      </w:pPr>
      <w:r>
        <w:rPr>
          <w:bCs/>
          <w:sz w:val="20"/>
        </w:rPr>
        <w:t xml:space="preserve">              </w:t>
      </w:r>
      <w:r w:rsidRPr="00A750D1">
        <w:rPr>
          <w:bCs/>
          <w:sz w:val="20"/>
        </w:rPr>
        <w:t>в сравнении с областными показателями за 2003-2008 гг.</w:t>
      </w:r>
    </w:p>
    <w:p w:rsidR="00E32225" w:rsidRDefault="00E32225" w:rsidP="00E32225">
      <w:pPr>
        <w:pStyle w:val="a3"/>
        <w:ind w:firstLine="709"/>
        <w:rPr>
          <w:b w:val="0"/>
          <w:sz w:val="24"/>
        </w:rPr>
      </w:pPr>
      <w:r>
        <w:rPr>
          <w:b w:val="0"/>
          <w:sz w:val="24"/>
        </w:rPr>
        <w:t xml:space="preserve">Снизилась на 2,86% заболеваемость туберкулеза органов дыхания, составляющего в структуре туберкулеза 89,2%, уменьшилась на 20,6% </w:t>
      </w:r>
      <w:proofErr w:type="spellStart"/>
      <w:r>
        <w:rPr>
          <w:b w:val="0"/>
          <w:sz w:val="24"/>
        </w:rPr>
        <w:t>выявляемость</w:t>
      </w:r>
      <w:proofErr w:type="spellEnd"/>
      <w:r>
        <w:rPr>
          <w:b w:val="0"/>
          <w:sz w:val="24"/>
        </w:rPr>
        <w:t xml:space="preserve"> бациллярными формами. Отмечается снижение заболеваемости «обязательных» контингентов (на 22%), в основном за счет работников пищевых предприятий (в 2,45 раза). </w:t>
      </w:r>
    </w:p>
    <w:p w:rsidR="00E32225" w:rsidRDefault="00E32225" w:rsidP="00E32225">
      <w:pPr>
        <w:pStyle w:val="a3"/>
        <w:ind w:firstLine="709"/>
        <w:rPr>
          <w:b w:val="0"/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834390</wp:posOffset>
            </wp:positionV>
            <wp:extent cx="5390515" cy="2693670"/>
            <wp:effectExtent l="0" t="0" r="0" b="0"/>
            <wp:wrapNone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b w:val="0"/>
          <w:sz w:val="24"/>
        </w:rPr>
        <w:t xml:space="preserve">В то же время остается высоким удельный вес «группы </w:t>
      </w:r>
      <w:proofErr w:type="spellStart"/>
      <w:r>
        <w:rPr>
          <w:b w:val="0"/>
          <w:sz w:val="24"/>
        </w:rPr>
        <w:t>соцриска</w:t>
      </w:r>
      <w:proofErr w:type="spellEnd"/>
      <w:r>
        <w:rPr>
          <w:b w:val="0"/>
          <w:sz w:val="24"/>
        </w:rPr>
        <w:t xml:space="preserve">» в структуре </w:t>
      </w:r>
      <w:proofErr w:type="gramStart"/>
      <w:r>
        <w:rPr>
          <w:b w:val="0"/>
          <w:sz w:val="24"/>
        </w:rPr>
        <w:t>заболевших</w:t>
      </w:r>
      <w:proofErr w:type="gramEnd"/>
      <w:r>
        <w:rPr>
          <w:b w:val="0"/>
          <w:sz w:val="24"/>
        </w:rPr>
        <w:t xml:space="preserve">. Продолжает оставаться неблагополучной ситуация по туберкулезу среди медработников, уровень заболеваемости которых возрос по сравнению с прошлым годом в 3 раза и превышает в 18,5 раз заболеваемость по территории.   Из выявленных 10 случаев – в 5-ти подтвержден профессиональный характер.     </w:t>
      </w: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ind w:firstLine="709"/>
        <w:rPr>
          <w:b w:val="0"/>
          <w:sz w:val="24"/>
        </w:rPr>
      </w:pPr>
    </w:p>
    <w:p w:rsidR="00E32225" w:rsidRDefault="00E32225" w:rsidP="00E32225">
      <w:pPr>
        <w:pStyle w:val="a3"/>
        <w:rPr>
          <w:bCs/>
          <w:sz w:val="20"/>
        </w:rPr>
      </w:pPr>
      <w:r>
        <w:rPr>
          <w:sz w:val="20"/>
        </w:rPr>
        <w:lastRenderedPageBreak/>
        <w:t xml:space="preserve">              </w:t>
      </w:r>
      <w:r w:rsidRPr="002876EC">
        <w:rPr>
          <w:sz w:val="20"/>
        </w:rPr>
        <w:t xml:space="preserve">Рис. </w:t>
      </w:r>
      <w:r>
        <w:rPr>
          <w:sz w:val="20"/>
        </w:rPr>
        <w:t xml:space="preserve">62. </w:t>
      </w:r>
      <w:r w:rsidRPr="002876EC">
        <w:rPr>
          <w:bCs/>
          <w:sz w:val="20"/>
        </w:rPr>
        <w:t xml:space="preserve">Динамика заболеваемости туберкулезом  декретированного контингента </w:t>
      </w:r>
    </w:p>
    <w:p w:rsidR="00E32225" w:rsidRPr="002876EC" w:rsidRDefault="00E32225" w:rsidP="00E32225">
      <w:pPr>
        <w:pStyle w:val="a3"/>
        <w:rPr>
          <w:sz w:val="20"/>
        </w:rPr>
      </w:pPr>
      <w:r>
        <w:rPr>
          <w:bCs/>
          <w:sz w:val="20"/>
        </w:rPr>
        <w:t xml:space="preserve">                           </w:t>
      </w:r>
      <w:r w:rsidRPr="002876EC">
        <w:rPr>
          <w:bCs/>
          <w:sz w:val="20"/>
        </w:rPr>
        <w:t>г</w:t>
      </w:r>
      <w:proofErr w:type="gramStart"/>
      <w:r w:rsidRPr="002876EC">
        <w:rPr>
          <w:bCs/>
          <w:sz w:val="20"/>
        </w:rPr>
        <w:t>.М</w:t>
      </w:r>
      <w:proofErr w:type="gramEnd"/>
      <w:r w:rsidRPr="002876EC">
        <w:rPr>
          <w:bCs/>
          <w:sz w:val="20"/>
        </w:rPr>
        <w:t>огилёва за период 2004-2008гг.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836EE9">
        <w:rPr>
          <w:rFonts w:ascii="Times New Roman" w:hAnsi="Times New Roman"/>
          <w:sz w:val="24"/>
        </w:rPr>
        <w:t xml:space="preserve">Социальными проблемами остаются педикулез и чесотка, уровень </w:t>
      </w:r>
      <w:proofErr w:type="spellStart"/>
      <w:r w:rsidRPr="00836EE9">
        <w:rPr>
          <w:rFonts w:ascii="Times New Roman" w:hAnsi="Times New Roman"/>
          <w:sz w:val="24"/>
        </w:rPr>
        <w:t>выявляемости</w:t>
      </w:r>
      <w:proofErr w:type="spellEnd"/>
      <w:r w:rsidRPr="00836EE9">
        <w:rPr>
          <w:rFonts w:ascii="Times New Roman" w:hAnsi="Times New Roman"/>
          <w:sz w:val="24"/>
        </w:rPr>
        <w:t xml:space="preserve">  которых снизился по сравнению с прошлым годом, но по-прежнему превышает областные  показатели</w:t>
      </w:r>
      <w:r>
        <w:rPr>
          <w:rFonts w:ascii="Times New Roman" w:hAnsi="Times New Roman"/>
          <w:sz w:val="24"/>
        </w:rPr>
        <w:t xml:space="preserve"> (рис. 63)</w:t>
      </w:r>
      <w:r w:rsidRPr="00836EE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32225" w:rsidRDefault="00E32225" w:rsidP="00E32225">
      <w:pPr>
        <w:pStyle w:val="a5"/>
        <w:tabs>
          <w:tab w:val="left" w:pos="42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226695</wp:posOffset>
            </wp:positionV>
            <wp:extent cx="5789295" cy="2628900"/>
            <wp:effectExtent l="0" t="0" r="0" b="0"/>
            <wp:wrapTopAndBottom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tabs>
          <w:tab w:val="left" w:pos="426"/>
        </w:tabs>
        <w:ind w:left="851" w:hanging="284"/>
        <w:jc w:val="both"/>
        <w:rPr>
          <w:rFonts w:ascii="Times New Roman" w:hAnsi="Times New Roman"/>
          <w:b/>
          <w:color w:val="000000"/>
        </w:rPr>
      </w:pPr>
      <w:r w:rsidRPr="003F762C">
        <w:rPr>
          <w:rFonts w:ascii="Times New Roman" w:hAnsi="Times New Roman"/>
          <w:b/>
          <w:color w:val="000000"/>
        </w:rPr>
        <w:t xml:space="preserve">Рис. </w:t>
      </w:r>
      <w:r>
        <w:rPr>
          <w:rFonts w:ascii="Times New Roman" w:hAnsi="Times New Roman"/>
          <w:b/>
          <w:color w:val="000000"/>
        </w:rPr>
        <w:t>63.</w:t>
      </w:r>
      <w:r w:rsidRPr="003F762C">
        <w:rPr>
          <w:rFonts w:ascii="Times New Roman" w:hAnsi="Times New Roman"/>
          <w:b/>
          <w:color w:val="000000"/>
        </w:rPr>
        <w:t xml:space="preserve">  Динамика заболеваемости населения </w:t>
      </w:r>
      <w:proofErr w:type="gramStart"/>
      <w:r w:rsidRPr="003F762C">
        <w:rPr>
          <w:rFonts w:ascii="Times New Roman" w:hAnsi="Times New Roman"/>
          <w:b/>
          <w:color w:val="000000"/>
        </w:rPr>
        <w:t>г</w:t>
      </w:r>
      <w:proofErr w:type="gramEnd"/>
      <w:r w:rsidRPr="003F762C">
        <w:rPr>
          <w:rFonts w:ascii="Times New Roman" w:hAnsi="Times New Roman"/>
          <w:b/>
          <w:color w:val="000000"/>
        </w:rPr>
        <w:t>. Могилева и Могилевской  области чесо</w:t>
      </w:r>
      <w:r w:rsidRPr="003F762C">
        <w:rPr>
          <w:rFonts w:ascii="Times New Roman" w:hAnsi="Times New Roman"/>
          <w:b/>
          <w:color w:val="000000"/>
        </w:rPr>
        <w:t>т</w:t>
      </w:r>
      <w:r>
        <w:rPr>
          <w:rFonts w:ascii="Times New Roman" w:hAnsi="Times New Roman"/>
          <w:b/>
          <w:color w:val="000000"/>
        </w:rPr>
        <w:t>кой.</w:t>
      </w:r>
    </w:p>
    <w:p w:rsidR="00E32225" w:rsidRPr="003F762C" w:rsidRDefault="00E32225" w:rsidP="00E32225">
      <w:pPr>
        <w:pStyle w:val="a5"/>
        <w:tabs>
          <w:tab w:val="left" w:pos="426"/>
        </w:tabs>
        <w:ind w:left="851" w:hanging="284"/>
        <w:jc w:val="both"/>
        <w:rPr>
          <w:rFonts w:ascii="Times New Roman" w:hAnsi="Times New Roman"/>
          <w:b/>
          <w:color w:val="000000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66BB3">
        <w:rPr>
          <w:rFonts w:ascii="Times New Roman" w:hAnsi="Times New Roman"/>
          <w:sz w:val="24"/>
        </w:rPr>
        <w:t>Контроль за</w:t>
      </w:r>
      <w:proofErr w:type="gramEnd"/>
      <w:r w:rsidRPr="00766BB3">
        <w:rPr>
          <w:rFonts w:ascii="Times New Roman" w:hAnsi="Times New Roman"/>
          <w:sz w:val="24"/>
        </w:rPr>
        <w:t xml:space="preserve"> проведением профилактических и противоэпидемических мероприятий по чесотке в общежитиях позволил снизить заболеваемость в привычной «группе риска» - студентов </w:t>
      </w:r>
      <w:proofErr w:type="spellStart"/>
      <w:r w:rsidRPr="00766BB3">
        <w:rPr>
          <w:rFonts w:ascii="Times New Roman" w:hAnsi="Times New Roman"/>
          <w:sz w:val="24"/>
        </w:rPr>
        <w:t>СУЗов</w:t>
      </w:r>
      <w:proofErr w:type="spellEnd"/>
      <w:r w:rsidRPr="00766BB3">
        <w:rPr>
          <w:rFonts w:ascii="Times New Roman" w:hAnsi="Times New Roman"/>
          <w:sz w:val="24"/>
        </w:rPr>
        <w:t xml:space="preserve"> в 1,8 раза. В то же время увеличилась </w:t>
      </w:r>
      <w:proofErr w:type="spellStart"/>
      <w:r w:rsidRPr="00766BB3">
        <w:rPr>
          <w:rFonts w:ascii="Times New Roman" w:hAnsi="Times New Roman"/>
          <w:sz w:val="24"/>
        </w:rPr>
        <w:t>выявляемость</w:t>
      </w:r>
      <w:proofErr w:type="spellEnd"/>
      <w:r w:rsidRPr="00766BB3">
        <w:rPr>
          <w:rFonts w:ascii="Times New Roman" w:hAnsi="Times New Roman"/>
          <w:sz w:val="24"/>
        </w:rPr>
        <w:t xml:space="preserve">  чесотки в группе детей, посещающих ДДУ (на 54%) и обучающихся в ВУЗах (на 16%).(рис.</w:t>
      </w:r>
      <w:r>
        <w:rPr>
          <w:rFonts w:ascii="Times New Roman" w:hAnsi="Times New Roman"/>
          <w:sz w:val="24"/>
        </w:rPr>
        <w:t>64</w:t>
      </w:r>
      <w:r w:rsidRPr="00766BB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E32225" w:rsidRDefault="00E32225" w:rsidP="00E32225">
      <w:pPr>
        <w:pStyle w:val="a5"/>
        <w:ind w:left="993" w:hanging="567"/>
        <w:jc w:val="both"/>
        <w:rPr>
          <w:rFonts w:ascii="Times New Roman" w:hAnsi="Times New Roman"/>
          <w:b/>
        </w:rPr>
      </w:pPr>
    </w:p>
    <w:p w:rsidR="00E32225" w:rsidRPr="003F762C" w:rsidRDefault="00E32225" w:rsidP="00E32225">
      <w:pPr>
        <w:pStyle w:val="a5"/>
        <w:ind w:left="993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128270</wp:posOffset>
            </wp:positionV>
            <wp:extent cx="5970905" cy="3221355"/>
            <wp:effectExtent l="0" t="0" r="0" b="0"/>
            <wp:wrapTopAndBottom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3F762C">
        <w:rPr>
          <w:rFonts w:ascii="Times New Roman" w:hAnsi="Times New Roman"/>
          <w:b/>
        </w:rPr>
        <w:t xml:space="preserve">Рис. </w:t>
      </w:r>
      <w:r>
        <w:rPr>
          <w:rFonts w:ascii="Times New Roman" w:hAnsi="Times New Roman"/>
          <w:b/>
        </w:rPr>
        <w:t>6</w:t>
      </w:r>
      <w:r w:rsidRPr="003F762C">
        <w:rPr>
          <w:rFonts w:ascii="Times New Roman" w:hAnsi="Times New Roman"/>
          <w:b/>
        </w:rPr>
        <w:t xml:space="preserve">4. Социально-возрастная динамика заболеваемости чесоткой  населения </w:t>
      </w:r>
      <w:proofErr w:type="gramStart"/>
      <w:r w:rsidRPr="003F762C">
        <w:rPr>
          <w:rFonts w:ascii="Times New Roman" w:hAnsi="Times New Roman"/>
          <w:b/>
        </w:rPr>
        <w:t>г</w:t>
      </w:r>
      <w:proofErr w:type="gramEnd"/>
      <w:r w:rsidRPr="003F762C">
        <w:rPr>
          <w:rFonts w:ascii="Times New Roman" w:hAnsi="Times New Roman"/>
          <w:b/>
        </w:rPr>
        <w:t>.</w:t>
      </w:r>
      <w:r w:rsidRPr="003F762C">
        <w:rPr>
          <w:rFonts w:ascii="Times New Roman" w:hAnsi="Times New Roman"/>
          <w:b/>
          <w:lang w:val="en-US"/>
        </w:rPr>
        <w:t> </w:t>
      </w:r>
      <w:r w:rsidRPr="003F762C">
        <w:rPr>
          <w:rFonts w:ascii="Times New Roman" w:hAnsi="Times New Roman"/>
          <w:b/>
        </w:rPr>
        <w:t>Мог</w:t>
      </w:r>
      <w:r w:rsidRPr="003F762C">
        <w:rPr>
          <w:rFonts w:ascii="Times New Roman" w:hAnsi="Times New Roman"/>
          <w:b/>
        </w:rPr>
        <w:t>и</w:t>
      </w:r>
      <w:r w:rsidRPr="003F762C">
        <w:rPr>
          <w:rFonts w:ascii="Times New Roman" w:hAnsi="Times New Roman"/>
          <w:b/>
        </w:rPr>
        <w:t xml:space="preserve">лёва </w:t>
      </w:r>
    </w:p>
    <w:p w:rsidR="00E32225" w:rsidRPr="00766BB3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16"/>
        </w:rPr>
        <w:lastRenderedPageBreak/>
        <w:t xml:space="preserve">               </w:t>
      </w:r>
      <w:r w:rsidRPr="00766BB3">
        <w:rPr>
          <w:rFonts w:ascii="Times New Roman" w:hAnsi="Times New Roman"/>
          <w:sz w:val="24"/>
          <w:szCs w:val="24"/>
        </w:rPr>
        <w:t xml:space="preserve">Сохраняется актуальность платяного педикулеза </w:t>
      </w:r>
      <w:r>
        <w:rPr>
          <w:rFonts w:ascii="Times New Roman" w:hAnsi="Times New Roman"/>
          <w:sz w:val="24"/>
          <w:szCs w:val="24"/>
        </w:rPr>
        <w:t>к</w:t>
      </w:r>
      <w:r w:rsidRPr="00766BB3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среди лиц, не имеющих постоянного места жительства и ведет асоциальный образ жизни, так и среди организованных, т.е. имеющих работу, посещающих детские и подростковые коллективы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6BB3">
        <w:rPr>
          <w:rFonts w:ascii="Times New Roman" w:hAnsi="Times New Roman"/>
          <w:sz w:val="24"/>
        </w:rPr>
        <w:t>(</w:t>
      </w:r>
      <w:proofErr w:type="gramStart"/>
      <w:r w:rsidRPr="00766BB3">
        <w:rPr>
          <w:rFonts w:ascii="Times New Roman" w:hAnsi="Times New Roman"/>
          <w:sz w:val="24"/>
        </w:rPr>
        <w:t>р</w:t>
      </w:r>
      <w:proofErr w:type="gramEnd"/>
      <w:r w:rsidRPr="00766BB3">
        <w:rPr>
          <w:rFonts w:ascii="Times New Roman" w:hAnsi="Times New Roman"/>
          <w:sz w:val="24"/>
        </w:rPr>
        <w:t>ис.</w:t>
      </w:r>
      <w:r>
        <w:rPr>
          <w:rFonts w:ascii="Times New Roman" w:hAnsi="Times New Roman"/>
          <w:sz w:val="24"/>
        </w:rPr>
        <w:t>65</w:t>
      </w:r>
      <w:r w:rsidRPr="00766BB3">
        <w:rPr>
          <w:rFonts w:ascii="Times New Roman" w:hAnsi="Times New Roman"/>
          <w:sz w:val="24"/>
        </w:rPr>
        <w:t>).</w:t>
      </w:r>
      <w:r w:rsidRPr="00665959">
        <w:rPr>
          <w:rFonts w:ascii="Times New Roman" w:hAnsi="Times New Roman"/>
          <w:i/>
          <w:sz w:val="24"/>
        </w:rPr>
        <w:t xml:space="preserve"> 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160655</wp:posOffset>
            </wp:positionV>
            <wp:extent cx="4686300" cy="2857500"/>
            <wp:effectExtent l="0" t="0" r="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E32225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</w:p>
    <w:p w:rsidR="00E32225" w:rsidRPr="00665959" w:rsidRDefault="00E32225" w:rsidP="00E32225">
      <w:pPr>
        <w:pStyle w:val="a5"/>
        <w:jc w:val="both"/>
        <w:rPr>
          <w:rFonts w:ascii="Times New Roman" w:hAnsi="Times New Roman"/>
          <w:i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16"/>
        </w:rPr>
      </w:pPr>
    </w:p>
    <w:p w:rsidR="00E32225" w:rsidRDefault="00E32225" w:rsidP="00E32225">
      <w:pPr>
        <w:pStyle w:val="a5"/>
        <w:ind w:left="1276" w:hanging="709"/>
        <w:jc w:val="both"/>
        <w:rPr>
          <w:rFonts w:ascii="Times New Roman" w:hAnsi="Times New Roman"/>
          <w:b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A96748">
        <w:rPr>
          <w:rFonts w:ascii="Times New Roman" w:hAnsi="Times New Roman"/>
          <w:b/>
        </w:rPr>
        <w:t>Рис.</w:t>
      </w:r>
      <w:r>
        <w:rPr>
          <w:rFonts w:ascii="Times New Roman" w:hAnsi="Times New Roman"/>
          <w:b/>
        </w:rPr>
        <w:t xml:space="preserve"> 65.</w:t>
      </w:r>
      <w:r w:rsidRPr="00A96748">
        <w:rPr>
          <w:rFonts w:ascii="Times New Roman" w:hAnsi="Times New Roman"/>
          <w:b/>
        </w:rPr>
        <w:t xml:space="preserve">   Динамика   </w:t>
      </w:r>
      <w:proofErr w:type="spellStart"/>
      <w:r w:rsidRPr="00A96748">
        <w:rPr>
          <w:rFonts w:ascii="Times New Roman" w:hAnsi="Times New Roman"/>
          <w:b/>
        </w:rPr>
        <w:t>пораженности</w:t>
      </w:r>
      <w:proofErr w:type="spellEnd"/>
      <w:r w:rsidRPr="00A96748">
        <w:rPr>
          <w:rFonts w:ascii="Times New Roman" w:hAnsi="Times New Roman"/>
          <w:b/>
        </w:rPr>
        <w:t xml:space="preserve">   педикулезом   населения  </w:t>
      </w:r>
      <w:proofErr w:type="gramStart"/>
      <w:r w:rsidRPr="00A96748">
        <w:rPr>
          <w:rFonts w:ascii="Times New Roman" w:hAnsi="Times New Roman"/>
          <w:b/>
        </w:rPr>
        <w:t>г</w:t>
      </w:r>
      <w:proofErr w:type="gramEnd"/>
      <w:r w:rsidRPr="00A96748">
        <w:rPr>
          <w:rFonts w:ascii="Times New Roman" w:hAnsi="Times New Roman"/>
          <w:b/>
        </w:rPr>
        <w:t xml:space="preserve">. Могилёва и </w:t>
      </w:r>
    </w:p>
    <w:p w:rsidR="00E32225" w:rsidRPr="00A96748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 w:rsidRPr="00A96748">
        <w:rPr>
          <w:rFonts w:ascii="Times New Roman" w:hAnsi="Times New Roman"/>
          <w:b/>
        </w:rPr>
        <w:t xml:space="preserve">Могилевского района </w:t>
      </w:r>
      <w:r>
        <w:rPr>
          <w:rFonts w:ascii="Times New Roman" w:hAnsi="Times New Roman"/>
          <w:b/>
        </w:rPr>
        <w:t xml:space="preserve">(с учетом бомжей) </w:t>
      </w:r>
      <w:r w:rsidRPr="00A96748">
        <w:rPr>
          <w:rFonts w:ascii="Times New Roman" w:hAnsi="Times New Roman"/>
          <w:b/>
        </w:rPr>
        <w:t xml:space="preserve"> 2003 - 2008гг.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225" w:rsidRPr="00766BB3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66BB3">
        <w:rPr>
          <w:rFonts w:ascii="Times New Roman" w:hAnsi="Times New Roman"/>
          <w:sz w:val="24"/>
          <w:szCs w:val="24"/>
        </w:rPr>
        <w:t xml:space="preserve">Несмотря на неблагоприятные прогнозы по птичьему гриппу  была достигнута одна из поставленных задач:  обеспечено </w:t>
      </w:r>
      <w:proofErr w:type="gramStart"/>
      <w:r w:rsidRPr="00766BB3">
        <w:rPr>
          <w:rFonts w:ascii="Times New Roman" w:hAnsi="Times New Roman"/>
          <w:sz w:val="24"/>
          <w:szCs w:val="24"/>
        </w:rPr>
        <w:t>устойчивое</w:t>
      </w:r>
      <w:proofErr w:type="gramEnd"/>
      <w:r w:rsidRPr="00766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BB3">
        <w:rPr>
          <w:rFonts w:ascii="Times New Roman" w:hAnsi="Times New Roman"/>
          <w:sz w:val="24"/>
          <w:szCs w:val="24"/>
        </w:rPr>
        <w:t>эпидблагополучие</w:t>
      </w:r>
      <w:proofErr w:type="spellEnd"/>
      <w:r w:rsidRPr="00766BB3">
        <w:rPr>
          <w:rFonts w:ascii="Times New Roman" w:hAnsi="Times New Roman"/>
          <w:sz w:val="24"/>
          <w:szCs w:val="24"/>
        </w:rPr>
        <w:t xml:space="preserve"> по карантинным инфекциям, повышена реальная готовность ЛПО и немедицинских служб к работе по санитарной охране территории. Практические навыки по организации противоэпидемических мероприятий отрабатывались на показательных тренировочных учениях по локализации очага птичьего гриппа среди животных и среди населения, на соревнованиях санитарных дружин.          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i/>
          <w:sz w:val="24"/>
        </w:rPr>
      </w:pPr>
      <w:r w:rsidRPr="00836EE9">
        <w:rPr>
          <w:rFonts w:ascii="Times New Roman" w:hAnsi="Times New Roman"/>
          <w:sz w:val="24"/>
        </w:rPr>
        <w:t xml:space="preserve">На фоне ухудшения эпизоотической обстановки по бешенству в области (рост </w:t>
      </w:r>
      <w:proofErr w:type="spellStart"/>
      <w:r w:rsidRPr="00836EE9">
        <w:rPr>
          <w:rFonts w:ascii="Times New Roman" w:hAnsi="Times New Roman"/>
          <w:sz w:val="24"/>
        </w:rPr>
        <w:t>выявляемости</w:t>
      </w:r>
      <w:proofErr w:type="spellEnd"/>
      <w:r w:rsidRPr="00836EE9">
        <w:rPr>
          <w:rFonts w:ascii="Times New Roman" w:hAnsi="Times New Roman"/>
          <w:sz w:val="24"/>
        </w:rPr>
        <w:t xml:space="preserve"> случаев среди животных на 20%  по сравнению с прошлым годом) выявлено 3 случая бешенства среди лис в городе.  Обостряет обстановку и ежегодное обращение за медпомощью по поводу покусов более 1000 чел</w:t>
      </w:r>
      <w:r w:rsidRPr="00836EE9">
        <w:rPr>
          <w:rFonts w:ascii="Times New Roman" w:hAnsi="Times New Roman"/>
          <w:sz w:val="24"/>
        </w:rPr>
        <w:t>о</w:t>
      </w:r>
      <w:r w:rsidRPr="00836EE9">
        <w:rPr>
          <w:rFonts w:ascii="Times New Roman" w:hAnsi="Times New Roman"/>
          <w:sz w:val="24"/>
        </w:rPr>
        <w:t>век</w:t>
      </w:r>
      <w:r>
        <w:rPr>
          <w:rFonts w:ascii="Times New Roman" w:hAnsi="Times New Roman"/>
          <w:sz w:val="24"/>
        </w:rPr>
        <w:t>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Но в</w:t>
      </w:r>
      <w:r w:rsidRPr="00836EE9">
        <w:rPr>
          <w:rFonts w:ascii="Times New Roman" w:hAnsi="Times New Roman"/>
          <w:sz w:val="24"/>
        </w:rPr>
        <w:t>месте с тем, благодаря целенаправленно проводимой санитарно-образовательной работе среди населения и в «группах риска» уменьшилось по сравнению с прошлым годом число лиц</w:t>
      </w:r>
      <w:r>
        <w:rPr>
          <w:rFonts w:ascii="Times New Roman" w:hAnsi="Times New Roman"/>
          <w:sz w:val="24"/>
        </w:rPr>
        <w:t>,</w:t>
      </w:r>
      <w:r w:rsidRPr="00836EE9">
        <w:rPr>
          <w:rFonts w:ascii="Times New Roman" w:hAnsi="Times New Roman"/>
          <w:sz w:val="24"/>
        </w:rPr>
        <w:t xml:space="preserve"> подлежащих иммунизации как контактные с бешеными животными (в 4,7 раза), снизилось количество отказчиков от прививок (на 28%),  а также  количество лиц, прервавших курс экстренной иммунопрофилактики (на 62,7%)</w:t>
      </w:r>
      <w:r>
        <w:rPr>
          <w:rFonts w:ascii="Times New Roman" w:hAnsi="Times New Roman"/>
          <w:sz w:val="24"/>
        </w:rPr>
        <w:t xml:space="preserve"> (рис. 66).</w:t>
      </w:r>
      <w:r w:rsidRPr="00836EE9">
        <w:rPr>
          <w:rFonts w:ascii="Times New Roman" w:hAnsi="Times New Roman"/>
          <w:sz w:val="24"/>
        </w:rPr>
        <w:t xml:space="preserve">  </w:t>
      </w:r>
      <w:proofErr w:type="gramEnd"/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242050" cy="2857500"/>
            <wp:effectExtent l="0" t="0" r="0" b="0"/>
            <wp:wrapNone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Pr="00836EE9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ind w:left="851" w:hanging="567"/>
        <w:jc w:val="both"/>
        <w:rPr>
          <w:b/>
          <w:bCs/>
          <w:sz w:val="24"/>
          <w:szCs w:val="24"/>
        </w:rPr>
      </w:pPr>
    </w:p>
    <w:p w:rsidR="00E32225" w:rsidRDefault="00E32225" w:rsidP="00E32225">
      <w:pPr>
        <w:ind w:left="851" w:hanging="567"/>
        <w:jc w:val="both"/>
        <w:rPr>
          <w:b/>
          <w:bCs/>
          <w:sz w:val="24"/>
          <w:szCs w:val="24"/>
        </w:rPr>
      </w:pPr>
    </w:p>
    <w:p w:rsidR="00E32225" w:rsidRDefault="00E32225" w:rsidP="00E32225">
      <w:pPr>
        <w:ind w:left="851" w:hanging="567"/>
        <w:jc w:val="both"/>
        <w:rPr>
          <w:b/>
          <w:bCs/>
          <w:sz w:val="24"/>
          <w:szCs w:val="24"/>
        </w:rPr>
      </w:pPr>
    </w:p>
    <w:p w:rsidR="00E32225" w:rsidRDefault="00E32225" w:rsidP="00E32225">
      <w:pPr>
        <w:ind w:left="851" w:hanging="567"/>
        <w:jc w:val="both"/>
        <w:rPr>
          <w:b/>
          <w:bCs/>
          <w:sz w:val="24"/>
          <w:szCs w:val="24"/>
        </w:rPr>
      </w:pPr>
    </w:p>
    <w:p w:rsidR="00E32225" w:rsidRDefault="00E32225" w:rsidP="00E32225">
      <w:pPr>
        <w:ind w:left="851" w:hanging="567"/>
        <w:jc w:val="both"/>
        <w:rPr>
          <w:b/>
          <w:bCs/>
        </w:rPr>
      </w:pPr>
    </w:p>
    <w:p w:rsidR="00E32225" w:rsidRDefault="00E32225" w:rsidP="00E32225">
      <w:pPr>
        <w:ind w:left="851" w:hanging="567"/>
        <w:jc w:val="both"/>
        <w:rPr>
          <w:b/>
          <w:bCs/>
        </w:rPr>
      </w:pPr>
    </w:p>
    <w:p w:rsidR="00E32225" w:rsidRDefault="00E32225" w:rsidP="00E32225">
      <w:pPr>
        <w:ind w:left="851" w:hanging="567"/>
        <w:jc w:val="both"/>
        <w:rPr>
          <w:b/>
          <w:bCs/>
        </w:rPr>
      </w:pPr>
    </w:p>
    <w:p w:rsidR="00E32225" w:rsidRDefault="00E32225" w:rsidP="00E32225">
      <w:pPr>
        <w:ind w:left="851" w:hanging="567"/>
        <w:jc w:val="both"/>
        <w:rPr>
          <w:b/>
          <w:bCs/>
        </w:rPr>
      </w:pPr>
    </w:p>
    <w:p w:rsidR="00E32225" w:rsidRDefault="00E32225" w:rsidP="00E32225">
      <w:pPr>
        <w:ind w:left="851" w:hanging="567"/>
        <w:jc w:val="both"/>
        <w:rPr>
          <w:b/>
          <w:bCs/>
        </w:rPr>
      </w:pPr>
    </w:p>
    <w:p w:rsidR="00E32225" w:rsidRDefault="00E32225" w:rsidP="00E32225">
      <w:pPr>
        <w:ind w:left="851" w:hanging="567"/>
        <w:jc w:val="both"/>
        <w:rPr>
          <w:b/>
          <w:bCs/>
        </w:rPr>
      </w:pPr>
    </w:p>
    <w:p w:rsidR="00E32225" w:rsidRPr="0053772A" w:rsidRDefault="00E32225" w:rsidP="00E32225">
      <w:pPr>
        <w:ind w:left="851" w:hanging="567"/>
        <w:jc w:val="both"/>
        <w:rPr>
          <w:b/>
          <w:bCs/>
        </w:rPr>
      </w:pPr>
      <w:r w:rsidRPr="0053772A">
        <w:rPr>
          <w:b/>
          <w:bCs/>
        </w:rPr>
        <w:t>Рис. 66. Сравнительная динамика показателей оказания антирабической помощи населению г</w:t>
      </w:r>
      <w:proofErr w:type="gramStart"/>
      <w:r w:rsidRPr="0053772A">
        <w:rPr>
          <w:b/>
          <w:bCs/>
        </w:rPr>
        <w:t>.М</w:t>
      </w:r>
      <w:proofErr w:type="gramEnd"/>
      <w:r w:rsidRPr="0053772A">
        <w:rPr>
          <w:b/>
          <w:bCs/>
        </w:rPr>
        <w:t>огилева      200</w:t>
      </w:r>
      <w:r>
        <w:rPr>
          <w:b/>
          <w:bCs/>
        </w:rPr>
        <w:t>7-2008гг.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836EE9">
        <w:rPr>
          <w:rFonts w:ascii="Times New Roman" w:hAnsi="Times New Roman"/>
          <w:sz w:val="24"/>
        </w:rPr>
        <w:t xml:space="preserve">Несмотря на ежегодное выявление высокой </w:t>
      </w:r>
      <w:proofErr w:type="spellStart"/>
      <w:r w:rsidRPr="00836EE9">
        <w:rPr>
          <w:rFonts w:ascii="Times New Roman" w:hAnsi="Times New Roman"/>
          <w:sz w:val="24"/>
        </w:rPr>
        <w:t>пораженности</w:t>
      </w:r>
      <w:proofErr w:type="spellEnd"/>
      <w:r w:rsidRPr="00836EE9">
        <w:rPr>
          <w:rFonts w:ascii="Times New Roman" w:hAnsi="Times New Roman"/>
          <w:sz w:val="24"/>
        </w:rPr>
        <w:t xml:space="preserve"> грызунов лептоспирозом и </w:t>
      </w:r>
      <w:proofErr w:type="spellStart"/>
      <w:r w:rsidRPr="00836EE9">
        <w:rPr>
          <w:rFonts w:ascii="Times New Roman" w:hAnsi="Times New Roman"/>
          <w:sz w:val="24"/>
        </w:rPr>
        <w:t>иерсиниозом</w:t>
      </w:r>
      <w:proofErr w:type="spellEnd"/>
      <w:r w:rsidRPr="00836EE9">
        <w:rPr>
          <w:rFonts w:ascii="Times New Roman" w:hAnsi="Times New Roman"/>
          <w:sz w:val="24"/>
        </w:rPr>
        <w:t>, уровень заболеваемости данными инфекциями насел</w:t>
      </w:r>
      <w:r>
        <w:rPr>
          <w:rFonts w:ascii="Times New Roman" w:hAnsi="Times New Roman"/>
          <w:sz w:val="24"/>
        </w:rPr>
        <w:t>ения регистрируется на единичном</w:t>
      </w:r>
      <w:r w:rsidRPr="00836EE9">
        <w:rPr>
          <w:rFonts w:ascii="Times New Roman" w:hAnsi="Times New Roman"/>
          <w:sz w:val="24"/>
        </w:rPr>
        <w:t xml:space="preserve"> уровне, случаев лептоспироза в анализируемом году – не выявлялось (рис</w:t>
      </w:r>
      <w:r>
        <w:rPr>
          <w:rFonts w:ascii="Times New Roman" w:hAnsi="Times New Roman"/>
          <w:sz w:val="24"/>
        </w:rPr>
        <w:t>. 67</w:t>
      </w:r>
      <w:r w:rsidRPr="00836EE9">
        <w:rPr>
          <w:rFonts w:ascii="Times New Roman" w:hAnsi="Times New Roman"/>
          <w:sz w:val="24"/>
        </w:rPr>
        <w:t>).</w: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Pr="00836EE9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62506C">
        <w:rPr>
          <w:b/>
          <w:sz w:val="24"/>
          <w:szCs w:val="24"/>
        </w:rPr>
        <w:object w:dxaOrig="3106" w:dyaOrig="2329">
          <v:shape id="_x0000_i1026" type="#_x0000_t75" style="width:375.75pt;height:171pt" o:ole="">
            <v:imagedata r:id="rId30" o:title=""/>
          </v:shape>
          <o:OLEObject Type="Embed" ProgID="PowerPoint.Slide.12" ShapeID="_x0000_i1026" DrawAspect="Content" ObjectID="_1309358643" r:id="rId31"/>
        </w:object>
      </w: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  <w:r w:rsidRPr="00836EE9">
        <w:rPr>
          <w:rFonts w:ascii="Times New Roman" w:hAnsi="Times New Roman"/>
          <w:sz w:val="24"/>
        </w:rPr>
        <w:t>Удалось сохранить тенденцию к снижению заболеваемости населения гельминтозами, уровень которых традици</w:t>
      </w:r>
      <w:r>
        <w:rPr>
          <w:rFonts w:ascii="Times New Roman" w:hAnsi="Times New Roman"/>
          <w:sz w:val="24"/>
        </w:rPr>
        <w:t>онно ниже областных показателей (рис.68).</w:t>
      </w: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146685</wp:posOffset>
            </wp:positionV>
            <wp:extent cx="5922010" cy="2672080"/>
            <wp:effectExtent l="0" t="0" r="0" b="0"/>
            <wp:wrapTopAndBottom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 w:rsidRPr="002A2BCB">
        <w:rPr>
          <w:rFonts w:ascii="Times New Roman" w:hAnsi="Times New Roman"/>
          <w:b/>
          <w:color w:val="000000"/>
        </w:rPr>
        <w:t xml:space="preserve">Рис. </w:t>
      </w:r>
      <w:r>
        <w:rPr>
          <w:rFonts w:ascii="Times New Roman" w:hAnsi="Times New Roman"/>
          <w:b/>
          <w:color w:val="000000"/>
        </w:rPr>
        <w:t>68.</w:t>
      </w:r>
      <w:r w:rsidRPr="002A2BCB">
        <w:rPr>
          <w:rFonts w:ascii="Times New Roman" w:hAnsi="Times New Roman"/>
          <w:b/>
          <w:color w:val="000000"/>
        </w:rPr>
        <w:t xml:space="preserve">  Сравнительная динамика  </w:t>
      </w:r>
      <w:proofErr w:type="spellStart"/>
      <w:r w:rsidRPr="002A2BCB">
        <w:rPr>
          <w:rFonts w:ascii="Times New Roman" w:hAnsi="Times New Roman"/>
          <w:b/>
          <w:color w:val="000000"/>
        </w:rPr>
        <w:t>инвазированности</w:t>
      </w:r>
      <w:proofErr w:type="spellEnd"/>
      <w:r w:rsidRPr="002A2BCB">
        <w:rPr>
          <w:rFonts w:ascii="Times New Roman" w:hAnsi="Times New Roman"/>
          <w:b/>
          <w:color w:val="000000"/>
        </w:rPr>
        <w:t xml:space="preserve"> аскаридозом и энтеробиозом  населения </w:t>
      </w:r>
    </w:p>
    <w:p w:rsidR="00E32225" w:rsidRPr="00A33886" w:rsidRDefault="00E32225" w:rsidP="00E32225">
      <w:pPr>
        <w:pStyle w:val="a5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                        </w:t>
      </w:r>
      <w:r w:rsidRPr="002A2BCB">
        <w:rPr>
          <w:rFonts w:ascii="Times New Roman" w:hAnsi="Times New Roman"/>
          <w:b/>
          <w:color w:val="000000"/>
        </w:rPr>
        <w:t>г. Могилева и Могиле</w:t>
      </w:r>
      <w:r w:rsidRPr="002A2BCB">
        <w:rPr>
          <w:rFonts w:ascii="Times New Roman" w:hAnsi="Times New Roman"/>
          <w:b/>
          <w:color w:val="000000"/>
        </w:rPr>
        <w:t>в</w:t>
      </w:r>
      <w:r w:rsidRPr="002A2BCB">
        <w:rPr>
          <w:rFonts w:ascii="Times New Roman" w:hAnsi="Times New Roman"/>
          <w:b/>
          <w:color w:val="000000"/>
        </w:rPr>
        <w:t>ской   области  1993-2008гг.</w:t>
      </w:r>
      <w:r w:rsidRPr="002A2BCB">
        <w:rPr>
          <w:b/>
          <w:color w:val="000000"/>
        </w:rPr>
        <w:t xml:space="preserve"> </w:t>
      </w:r>
      <w:r w:rsidRPr="002A2BCB">
        <w:rPr>
          <w:rFonts w:ascii="Times New Roman" w:hAnsi="Times New Roman"/>
          <w:b/>
          <w:color w:val="000000"/>
        </w:rPr>
        <w:t xml:space="preserve"> 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Целенаправленная работа с клиницистами по проведению 100% профилактического лечения после покусов клещами повлияла на  2-х кратное снижение заболеваемости </w:t>
      </w:r>
      <w:proofErr w:type="spellStart"/>
      <w:r>
        <w:rPr>
          <w:rFonts w:ascii="Times New Roman" w:hAnsi="Times New Roman"/>
          <w:sz w:val="24"/>
        </w:rPr>
        <w:t>Лайм-боррелиозами</w:t>
      </w:r>
      <w:proofErr w:type="spellEnd"/>
      <w:r>
        <w:rPr>
          <w:rFonts w:ascii="Times New Roman" w:hAnsi="Times New Roman"/>
          <w:sz w:val="24"/>
        </w:rPr>
        <w:t xml:space="preserve"> среди населения (рис. 69).</w:t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5767705" cy="2388870"/>
            <wp:effectExtent l="0" t="0" r="0" b="0"/>
            <wp:wrapNone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3F762C">
        <w:rPr>
          <w:rFonts w:ascii="Times New Roman" w:hAnsi="Times New Roman"/>
          <w:b/>
        </w:rPr>
        <w:t xml:space="preserve">Рис. </w:t>
      </w:r>
      <w:r>
        <w:rPr>
          <w:rFonts w:ascii="Times New Roman" w:hAnsi="Times New Roman"/>
          <w:b/>
        </w:rPr>
        <w:t xml:space="preserve">69. </w:t>
      </w:r>
      <w:r w:rsidRPr="003F762C">
        <w:rPr>
          <w:rFonts w:ascii="Times New Roman" w:hAnsi="Times New Roman"/>
          <w:b/>
        </w:rPr>
        <w:t xml:space="preserve">Динамика обращаемости населения в ЛПО г. Могилёва  по поводу покусов </w:t>
      </w:r>
    </w:p>
    <w:p w:rsidR="00E32225" w:rsidRPr="007463B8" w:rsidRDefault="00E32225" w:rsidP="00E3222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Pr="003F762C">
        <w:rPr>
          <w:rFonts w:ascii="Times New Roman" w:hAnsi="Times New Roman"/>
          <w:b/>
        </w:rPr>
        <w:t xml:space="preserve">клещей и проведению   профилактических мероприятий.  </w:t>
      </w:r>
    </w:p>
    <w:p w:rsidR="00E32225" w:rsidRDefault="00E32225" w:rsidP="00E32225">
      <w:pPr>
        <w:pStyle w:val="a5"/>
        <w:ind w:firstLine="851"/>
        <w:jc w:val="both"/>
        <w:rPr>
          <w:rFonts w:ascii="Times New Roman" w:hAnsi="Times New Roman"/>
          <w:sz w:val="24"/>
        </w:rPr>
      </w:pPr>
    </w:p>
    <w:p w:rsidR="00E32225" w:rsidRDefault="00E32225" w:rsidP="00E32225">
      <w:pPr>
        <w:pStyle w:val="a5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Нестабильность </w:t>
      </w:r>
      <w:proofErr w:type="spellStart"/>
      <w:r>
        <w:rPr>
          <w:rFonts w:ascii="Times New Roman" w:hAnsi="Times New Roman"/>
          <w:sz w:val="24"/>
        </w:rPr>
        <w:t>эпидситуации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паразитозам</w:t>
      </w:r>
      <w:proofErr w:type="spellEnd"/>
      <w:r>
        <w:rPr>
          <w:rFonts w:ascii="Times New Roman" w:hAnsi="Times New Roman"/>
          <w:sz w:val="24"/>
        </w:rPr>
        <w:t xml:space="preserve"> обусловлены регистрацией завозного случая малярии,  не регистрируемой с 2004 года, 12 случаев </w:t>
      </w:r>
      <w:proofErr w:type="spellStart"/>
      <w:r>
        <w:rPr>
          <w:rFonts w:ascii="Times New Roman" w:hAnsi="Times New Roman"/>
          <w:sz w:val="24"/>
        </w:rPr>
        <w:t>токсакороза</w:t>
      </w:r>
      <w:proofErr w:type="spellEnd"/>
      <w:r>
        <w:rPr>
          <w:rFonts w:ascii="Times New Roman" w:hAnsi="Times New Roman"/>
          <w:sz w:val="24"/>
        </w:rPr>
        <w:t xml:space="preserve"> (2007г. – 7), 1 случая эхинококкоза (2007г. – 2), 1 случая </w:t>
      </w:r>
      <w:proofErr w:type="spellStart"/>
      <w:r>
        <w:rPr>
          <w:rFonts w:ascii="Times New Roman" w:hAnsi="Times New Roman"/>
          <w:sz w:val="24"/>
        </w:rPr>
        <w:t>гименолипедоза</w:t>
      </w:r>
      <w:proofErr w:type="spellEnd"/>
      <w:r>
        <w:rPr>
          <w:rFonts w:ascii="Times New Roman" w:hAnsi="Times New Roman"/>
          <w:sz w:val="24"/>
        </w:rPr>
        <w:t xml:space="preserve"> (2007г. 0, 1 случая дифиллоботриоза (2007г.- 0) 11 случаев </w:t>
      </w:r>
      <w:proofErr w:type="spellStart"/>
      <w:r>
        <w:rPr>
          <w:rFonts w:ascii="Times New Roman" w:hAnsi="Times New Roman"/>
          <w:sz w:val="24"/>
        </w:rPr>
        <w:t>криптоспоридиоза</w:t>
      </w:r>
      <w:proofErr w:type="spellEnd"/>
      <w:r>
        <w:rPr>
          <w:rFonts w:ascii="Times New Roman" w:hAnsi="Times New Roman"/>
          <w:sz w:val="24"/>
        </w:rPr>
        <w:t xml:space="preserve"> (2007г. – 5), увеличением загрязненности внешней среды паразитарными </w:t>
      </w:r>
      <w:proofErr w:type="spellStart"/>
      <w:r>
        <w:rPr>
          <w:rFonts w:ascii="Times New Roman" w:hAnsi="Times New Roman"/>
          <w:sz w:val="24"/>
        </w:rPr>
        <w:t>патогенами</w:t>
      </w:r>
      <w:proofErr w:type="spellEnd"/>
      <w:r>
        <w:rPr>
          <w:rFonts w:ascii="Times New Roman" w:hAnsi="Times New Roman"/>
          <w:sz w:val="24"/>
        </w:rPr>
        <w:t xml:space="preserve"> (с 0,08% в 2007 году до 0,2% в 2008 году).</w:t>
      </w:r>
      <w:proofErr w:type="gramEnd"/>
    </w:p>
    <w:p w:rsidR="00E32225" w:rsidRDefault="00E32225" w:rsidP="00E32225">
      <w:pPr>
        <w:jc w:val="both"/>
        <w:rPr>
          <w:b/>
          <w:sz w:val="15"/>
        </w:rPr>
      </w:pPr>
    </w:p>
    <w:p w:rsidR="00B34C02" w:rsidRDefault="00E32225" w:rsidP="00E32225">
      <w:r w:rsidRPr="005371C2">
        <w:rPr>
          <w:b/>
          <w:sz w:val="24"/>
          <w:szCs w:val="24"/>
        </w:rPr>
        <w:t xml:space="preserve">ВЫВОД: </w:t>
      </w:r>
      <w:r>
        <w:rPr>
          <w:sz w:val="24"/>
        </w:rPr>
        <w:t xml:space="preserve">Анализ имеющихся материалов свидетельствует о стабильной положительной динамике достигнутых показателей. Обеспечен оптимальный уровень </w:t>
      </w:r>
      <w:proofErr w:type="spellStart"/>
      <w:r>
        <w:rPr>
          <w:sz w:val="24"/>
        </w:rPr>
        <w:t>привитости</w:t>
      </w:r>
      <w:proofErr w:type="spellEnd"/>
      <w:r>
        <w:rPr>
          <w:sz w:val="24"/>
        </w:rPr>
        <w:t xml:space="preserve"> детского и взрослого населения. Выполнен очередной этап по достижению целевых показателей заболеваемости к 2010 году, разработанных по ряду инфекций с учетом рекомендаций ВОЗ. Создана основа для реализации комплексного подхода и участия, как медицинских, так и немедицинских структур в решении проблем профилактики социально-значимых инфекций санитарной охраны территории.</w:t>
      </w:r>
    </w:p>
    <w:sectPr w:rsidR="00B34C02" w:rsidSect="00B3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25"/>
    <w:rsid w:val="00004CD9"/>
    <w:rsid w:val="00011CB9"/>
    <w:rsid w:val="00023BCF"/>
    <w:rsid w:val="00026A3D"/>
    <w:rsid w:val="00031A5A"/>
    <w:rsid w:val="000331AD"/>
    <w:rsid w:val="00034E97"/>
    <w:rsid w:val="0004017E"/>
    <w:rsid w:val="00061206"/>
    <w:rsid w:val="00067FB8"/>
    <w:rsid w:val="00075746"/>
    <w:rsid w:val="00077E0A"/>
    <w:rsid w:val="000860AE"/>
    <w:rsid w:val="00091A45"/>
    <w:rsid w:val="000970E8"/>
    <w:rsid w:val="000A2B1D"/>
    <w:rsid w:val="000A57E2"/>
    <w:rsid w:val="000B1732"/>
    <w:rsid w:val="000B23E4"/>
    <w:rsid w:val="000B398F"/>
    <w:rsid w:val="000C627D"/>
    <w:rsid w:val="000D68ED"/>
    <w:rsid w:val="000D76CE"/>
    <w:rsid w:val="000E0B8A"/>
    <w:rsid w:val="000E350C"/>
    <w:rsid w:val="000E3EAD"/>
    <w:rsid w:val="000E44D5"/>
    <w:rsid w:val="000F0596"/>
    <w:rsid w:val="000F070B"/>
    <w:rsid w:val="000F66FD"/>
    <w:rsid w:val="00111F82"/>
    <w:rsid w:val="001133D4"/>
    <w:rsid w:val="00115857"/>
    <w:rsid w:val="00121CFB"/>
    <w:rsid w:val="00122EC8"/>
    <w:rsid w:val="00123170"/>
    <w:rsid w:val="00133D71"/>
    <w:rsid w:val="00162FF7"/>
    <w:rsid w:val="00176056"/>
    <w:rsid w:val="0018021F"/>
    <w:rsid w:val="0018252E"/>
    <w:rsid w:val="00191462"/>
    <w:rsid w:val="001961EB"/>
    <w:rsid w:val="001A371D"/>
    <w:rsid w:val="001A6DF4"/>
    <w:rsid w:val="001B18D1"/>
    <w:rsid w:val="001B1FFB"/>
    <w:rsid w:val="001B32F2"/>
    <w:rsid w:val="001B767B"/>
    <w:rsid w:val="001B7B03"/>
    <w:rsid w:val="001B7B86"/>
    <w:rsid w:val="001C0657"/>
    <w:rsid w:val="001C2BFA"/>
    <w:rsid w:val="001C4FFC"/>
    <w:rsid w:val="001E449B"/>
    <w:rsid w:val="001E5D86"/>
    <w:rsid w:val="001E76E1"/>
    <w:rsid w:val="001F01FA"/>
    <w:rsid w:val="001F3BD0"/>
    <w:rsid w:val="001F5619"/>
    <w:rsid w:val="001F6258"/>
    <w:rsid w:val="002117C0"/>
    <w:rsid w:val="00226CC8"/>
    <w:rsid w:val="00230602"/>
    <w:rsid w:val="002335FD"/>
    <w:rsid w:val="002344A7"/>
    <w:rsid w:val="00235244"/>
    <w:rsid w:val="00237CD2"/>
    <w:rsid w:val="002401FE"/>
    <w:rsid w:val="00246A2B"/>
    <w:rsid w:val="0024758A"/>
    <w:rsid w:val="00253CDC"/>
    <w:rsid w:val="00256336"/>
    <w:rsid w:val="00263DB9"/>
    <w:rsid w:val="00266BC5"/>
    <w:rsid w:val="00270878"/>
    <w:rsid w:val="00270DBF"/>
    <w:rsid w:val="002727F2"/>
    <w:rsid w:val="002743E4"/>
    <w:rsid w:val="00281DDB"/>
    <w:rsid w:val="0028353B"/>
    <w:rsid w:val="00283B94"/>
    <w:rsid w:val="00283F1A"/>
    <w:rsid w:val="00291CDF"/>
    <w:rsid w:val="002940A5"/>
    <w:rsid w:val="002A0C43"/>
    <w:rsid w:val="002B0FEE"/>
    <w:rsid w:val="002B3F68"/>
    <w:rsid w:val="002B573C"/>
    <w:rsid w:val="002C7C29"/>
    <w:rsid w:val="002C7F4F"/>
    <w:rsid w:val="002D5394"/>
    <w:rsid w:val="002E1D6B"/>
    <w:rsid w:val="002E4616"/>
    <w:rsid w:val="002E47DC"/>
    <w:rsid w:val="002E6413"/>
    <w:rsid w:val="002E7A36"/>
    <w:rsid w:val="00301403"/>
    <w:rsid w:val="003025B4"/>
    <w:rsid w:val="003050CE"/>
    <w:rsid w:val="00305AE4"/>
    <w:rsid w:val="00307F21"/>
    <w:rsid w:val="003116CE"/>
    <w:rsid w:val="003128C7"/>
    <w:rsid w:val="00334870"/>
    <w:rsid w:val="00353856"/>
    <w:rsid w:val="00356C64"/>
    <w:rsid w:val="003608F4"/>
    <w:rsid w:val="0036172D"/>
    <w:rsid w:val="00380439"/>
    <w:rsid w:val="00380EDF"/>
    <w:rsid w:val="003935F7"/>
    <w:rsid w:val="00393815"/>
    <w:rsid w:val="00396EC0"/>
    <w:rsid w:val="003A6743"/>
    <w:rsid w:val="003B331E"/>
    <w:rsid w:val="003B34D8"/>
    <w:rsid w:val="003B7963"/>
    <w:rsid w:val="003C232D"/>
    <w:rsid w:val="003D061C"/>
    <w:rsid w:val="003D7435"/>
    <w:rsid w:val="003E02E7"/>
    <w:rsid w:val="003E1A4E"/>
    <w:rsid w:val="003E5D44"/>
    <w:rsid w:val="003F20B9"/>
    <w:rsid w:val="003F3410"/>
    <w:rsid w:val="003F3731"/>
    <w:rsid w:val="003F778A"/>
    <w:rsid w:val="00404494"/>
    <w:rsid w:val="004063AC"/>
    <w:rsid w:val="0041522D"/>
    <w:rsid w:val="00426120"/>
    <w:rsid w:val="004314B6"/>
    <w:rsid w:val="00452C6E"/>
    <w:rsid w:val="004550D5"/>
    <w:rsid w:val="00455167"/>
    <w:rsid w:val="00455E60"/>
    <w:rsid w:val="00457BAF"/>
    <w:rsid w:val="00460F15"/>
    <w:rsid w:val="00462369"/>
    <w:rsid w:val="00464AC1"/>
    <w:rsid w:val="00466CD5"/>
    <w:rsid w:val="004731D7"/>
    <w:rsid w:val="00473993"/>
    <w:rsid w:val="00474232"/>
    <w:rsid w:val="00475F27"/>
    <w:rsid w:val="00477FAE"/>
    <w:rsid w:val="00480187"/>
    <w:rsid w:val="00487638"/>
    <w:rsid w:val="004977A9"/>
    <w:rsid w:val="004A0467"/>
    <w:rsid w:val="004A2351"/>
    <w:rsid w:val="004B31F1"/>
    <w:rsid w:val="004B37E8"/>
    <w:rsid w:val="004B6FE1"/>
    <w:rsid w:val="004C0523"/>
    <w:rsid w:val="004C60AC"/>
    <w:rsid w:val="004C7068"/>
    <w:rsid w:val="004D3CB0"/>
    <w:rsid w:val="004E043A"/>
    <w:rsid w:val="004E5FAA"/>
    <w:rsid w:val="00504DA6"/>
    <w:rsid w:val="00505E17"/>
    <w:rsid w:val="00540E9A"/>
    <w:rsid w:val="00545694"/>
    <w:rsid w:val="00555834"/>
    <w:rsid w:val="00555911"/>
    <w:rsid w:val="00565FCE"/>
    <w:rsid w:val="0057124E"/>
    <w:rsid w:val="0057768D"/>
    <w:rsid w:val="00586494"/>
    <w:rsid w:val="00594A62"/>
    <w:rsid w:val="00594D7A"/>
    <w:rsid w:val="00595EBA"/>
    <w:rsid w:val="00597CE7"/>
    <w:rsid w:val="005D5A56"/>
    <w:rsid w:val="005D7370"/>
    <w:rsid w:val="005E4611"/>
    <w:rsid w:val="005E463B"/>
    <w:rsid w:val="005F45CA"/>
    <w:rsid w:val="005F7D00"/>
    <w:rsid w:val="005F7EAE"/>
    <w:rsid w:val="0060101E"/>
    <w:rsid w:val="00601BEF"/>
    <w:rsid w:val="00603049"/>
    <w:rsid w:val="006042FF"/>
    <w:rsid w:val="00606A31"/>
    <w:rsid w:val="006119BD"/>
    <w:rsid w:val="00612237"/>
    <w:rsid w:val="00612966"/>
    <w:rsid w:val="00617DE3"/>
    <w:rsid w:val="006230EA"/>
    <w:rsid w:val="0063293C"/>
    <w:rsid w:val="006345AE"/>
    <w:rsid w:val="00635238"/>
    <w:rsid w:val="00644EE6"/>
    <w:rsid w:val="00647361"/>
    <w:rsid w:val="00653208"/>
    <w:rsid w:val="006555AD"/>
    <w:rsid w:val="00656656"/>
    <w:rsid w:val="00664868"/>
    <w:rsid w:val="00667E2A"/>
    <w:rsid w:val="00673939"/>
    <w:rsid w:val="006827B0"/>
    <w:rsid w:val="00692253"/>
    <w:rsid w:val="00695EC3"/>
    <w:rsid w:val="00697129"/>
    <w:rsid w:val="0069730F"/>
    <w:rsid w:val="00697E21"/>
    <w:rsid w:val="006A1310"/>
    <w:rsid w:val="006A6027"/>
    <w:rsid w:val="006C4F3B"/>
    <w:rsid w:val="006C6BD2"/>
    <w:rsid w:val="006D0DF8"/>
    <w:rsid w:val="006D2014"/>
    <w:rsid w:val="006E1CB0"/>
    <w:rsid w:val="006F2740"/>
    <w:rsid w:val="0070323D"/>
    <w:rsid w:val="00707702"/>
    <w:rsid w:val="00710BEC"/>
    <w:rsid w:val="0071521C"/>
    <w:rsid w:val="00721C0F"/>
    <w:rsid w:val="007240F1"/>
    <w:rsid w:val="007329A9"/>
    <w:rsid w:val="00747EA3"/>
    <w:rsid w:val="007550C9"/>
    <w:rsid w:val="007630D6"/>
    <w:rsid w:val="007737E7"/>
    <w:rsid w:val="007848FB"/>
    <w:rsid w:val="00784EBE"/>
    <w:rsid w:val="00786BDA"/>
    <w:rsid w:val="007873EF"/>
    <w:rsid w:val="00791C0C"/>
    <w:rsid w:val="0079674B"/>
    <w:rsid w:val="007A29E5"/>
    <w:rsid w:val="007A4D60"/>
    <w:rsid w:val="007C42D3"/>
    <w:rsid w:val="007D0477"/>
    <w:rsid w:val="007D12BB"/>
    <w:rsid w:val="007D5AA9"/>
    <w:rsid w:val="007D5AFA"/>
    <w:rsid w:val="007E1A94"/>
    <w:rsid w:val="007E4808"/>
    <w:rsid w:val="007F2222"/>
    <w:rsid w:val="007F38EC"/>
    <w:rsid w:val="007F4A25"/>
    <w:rsid w:val="008000DC"/>
    <w:rsid w:val="00806ABD"/>
    <w:rsid w:val="00807663"/>
    <w:rsid w:val="0081211E"/>
    <w:rsid w:val="00822528"/>
    <w:rsid w:val="00823BFC"/>
    <w:rsid w:val="00841EC6"/>
    <w:rsid w:val="00842218"/>
    <w:rsid w:val="00842850"/>
    <w:rsid w:val="008506F2"/>
    <w:rsid w:val="008558A8"/>
    <w:rsid w:val="008614FA"/>
    <w:rsid w:val="00861DFE"/>
    <w:rsid w:val="00866F5C"/>
    <w:rsid w:val="008833B1"/>
    <w:rsid w:val="00885226"/>
    <w:rsid w:val="00887A05"/>
    <w:rsid w:val="00893067"/>
    <w:rsid w:val="008A045E"/>
    <w:rsid w:val="008A1E0C"/>
    <w:rsid w:val="008B7252"/>
    <w:rsid w:val="008C2736"/>
    <w:rsid w:val="008C33C8"/>
    <w:rsid w:val="008D3A86"/>
    <w:rsid w:val="008D3C90"/>
    <w:rsid w:val="008D5D6A"/>
    <w:rsid w:val="008E3235"/>
    <w:rsid w:val="008F2087"/>
    <w:rsid w:val="008F28BE"/>
    <w:rsid w:val="008F4157"/>
    <w:rsid w:val="00901DE3"/>
    <w:rsid w:val="0091048D"/>
    <w:rsid w:val="00913955"/>
    <w:rsid w:val="009141B1"/>
    <w:rsid w:val="00914881"/>
    <w:rsid w:val="00914EB5"/>
    <w:rsid w:val="00915AFC"/>
    <w:rsid w:val="00917F2B"/>
    <w:rsid w:val="009412A5"/>
    <w:rsid w:val="00944DA4"/>
    <w:rsid w:val="00974F09"/>
    <w:rsid w:val="009919DE"/>
    <w:rsid w:val="009927FD"/>
    <w:rsid w:val="0099568C"/>
    <w:rsid w:val="009979EE"/>
    <w:rsid w:val="009B2601"/>
    <w:rsid w:val="009B5A0A"/>
    <w:rsid w:val="009C6D84"/>
    <w:rsid w:val="009D7E2A"/>
    <w:rsid w:val="00A02650"/>
    <w:rsid w:val="00A0343D"/>
    <w:rsid w:val="00A10425"/>
    <w:rsid w:val="00A15BB1"/>
    <w:rsid w:val="00A21FAE"/>
    <w:rsid w:val="00A324F8"/>
    <w:rsid w:val="00A34D7D"/>
    <w:rsid w:val="00A35279"/>
    <w:rsid w:val="00A47CEB"/>
    <w:rsid w:val="00A67110"/>
    <w:rsid w:val="00A71817"/>
    <w:rsid w:val="00A7285A"/>
    <w:rsid w:val="00A81267"/>
    <w:rsid w:val="00A84CD7"/>
    <w:rsid w:val="00A87093"/>
    <w:rsid w:val="00A94407"/>
    <w:rsid w:val="00A97D87"/>
    <w:rsid w:val="00AA4CDB"/>
    <w:rsid w:val="00AB1997"/>
    <w:rsid w:val="00AC47F5"/>
    <w:rsid w:val="00AE4C18"/>
    <w:rsid w:val="00AE7727"/>
    <w:rsid w:val="00AF1757"/>
    <w:rsid w:val="00B01DF1"/>
    <w:rsid w:val="00B04A73"/>
    <w:rsid w:val="00B2178B"/>
    <w:rsid w:val="00B21797"/>
    <w:rsid w:val="00B34C02"/>
    <w:rsid w:val="00B42CFA"/>
    <w:rsid w:val="00B5443C"/>
    <w:rsid w:val="00B60DCB"/>
    <w:rsid w:val="00B6271D"/>
    <w:rsid w:val="00B6388F"/>
    <w:rsid w:val="00B71A39"/>
    <w:rsid w:val="00B807C7"/>
    <w:rsid w:val="00BA4483"/>
    <w:rsid w:val="00BA53F9"/>
    <w:rsid w:val="00BA7508"/>
    <w:rsid w:val="00BB05CD"/>
    <w:rsid w:val="00BB58C3"/>
    <w:rsid w:val="00BC021F"/>
    <w:rsid w:val="00BC294E"/>
    <w:rsid w:val="00BC3F71"/>
    <w:rsid w:val="00BD193C"/>
    <w:rsid w:val="00BD5776"/>
    <w:rsid w:val="00BE500D"/>
    <w:rsid w:val="00C002C4"/>
    <w:rsid w:val="00C00FB2"/>
    <w:rsid w:val="00C05ECD"/>
    <w:rsid w:val="00C070C0"/>
    <w:rsid w:val="00C10505"/>
    <w:rsid w:val="00C10E56"/>
    <w:rsid w:val="00C14B05"/>
    <w:rsid w:val="00C17495"/>
    <w:rsid w:val="00C24AFA"/>
    <w:rsid w:val="00C271F6"/>
    <w:rsid w:val="00C31213"/>
    <w:rsid w:val="00C57663"/>
    <w:rsid w:val="00C5799D"/>
    <w:rsid w:val="00C600E2"/>
    <w:rsid w:val="00C61766"/>
    <w:rsid w:val="00C638BD"/>
    <w:rsid w:val="00C704BA"/>
    <w:rsid w:val="00C71829"/>
    <w:rsid w:val="00C753CA"/>
    <w:rsid w:val="00C80F92"/>
    <w:rsid w:val="00C83478"/>
    <w:rsid w:val="00C83889"/>
    <w:rsid w:val="00CB2BDC"/>
    <w:rsid w:val="00CB645E"/>
    <w:rsid w:val="00CB7C8A"/>
    <w:rsid w:val="00CC036D"/>
    <w:rsid w:val="00CC22CA"/>
    <w:rsid w:val="00CD09B2"/>
    <w:rsid w:val="00CD319B"/>
    <w:rsid w:val="00CD4793"/>
    <w:rsid w:val="00CD5564"/>
    <w:rsid w:val="00CD5E0B"/>
    <w:rsid w:val="00CD604B"/>
    <w:rsid w:val="00CE0653"/>
    <w:rsid w:val="00CE1626"/>
    <w:rsid w:val="00CE2C04"/>
    <w:rsid w:val="00CF370F"/>
    <w:rsid w:val="00CF3A0A"/>
    <w:rsid w:val="00CF62B7"/>
    <w:rsid w:val="00D05059"/>
    <w:rsid w:val="00D05093"/>
    <w:rsid w:val="00D112D3"/>
    <w:rsid w:val="00D22735"/>
    <w:rsid w:val="00D24CC6"/>
    <w:rsid w:val="00D259EA"/>
    <w:rsid w:val="00D3493F"/>
    <w:rsid w:val="00D51BE0"/>
    <w:rsid w:val="00D52670"/>
    <w:rsid w:val="00D531DE"/>
    <w:rsid w:val="00D567D6"/>
    <w:rsid w:val="00D56836"/>
    <w:rsid w:val="00D701EF"/>
    <w:rsid w:val="00D818CF"/>
    <w:rsid w:val="00D85BF3"/>
    <w:rsid w:val="00D937E4"/>
    <w:rsid w:val="00DB36A2"/>
    <w:rsid w:val="00DB704A"/>
    <w:rsid w:val="00DC02FF"/>
    <w:rsid w:val="00DC44FB"/>
    <w:rsid w:val="00DC5E77"/>
    <w:rsid w:val="00DD521A"/>
    <w:rsid w:val="00DE0B5B"/>
    <w:rsid w:val="00DE2DD5"/>
    <w:rsid w:val="00DE4A01"/>
    <w:rsid w:val="00DE6A08"/>
    <w:rsid w:val="00E04A4B"/>
    <w:rsid w:val="00E05FFA"/>
    <w:rsid w:val="00E06CE9"/>
    <w:rsid w:val="00E14913"/>
    <w:rsid w:val="00E2111B"/>
    <w:rsid w:val="00E2406E"/>
    <w:rsid w:val="00E2519D"/>
    <w:rsid w:val="00E32225"/>
    <w:rsid w:val="00E428DD"/>
    <w:rsid w:val="00E43BF2"/>
    <w:rsid w:val="00E46E02"/>
    <w:rsid w:val="00E47B1F"/>
    <w:rsid w:val="00E47D55"/>
    <w:rsid w:val="00E53408"/>
    <w:rsid w:val="00E57CED"/>
    <w:rsid w:val="00E64632"/>
    <w:rsid w:val="00E71B30"/>
    <w:rsid w:val="00E71C3F"/>
    <w:rsid w:val="00E77167"/>
    <w:rsid w:val="00E96ED1"/>
    <w:rsid w:val="00E96F8F"/>
    <w:rsid w:val="00EA1422"/>
    <w:rsid w:val="00EA45E7"/>
    <w:rsid w:val="00EA4C20"/>
    <w:rsid w:val="00EA5B00"/>
    <w:rsid w:val="00EA6C93"/>
    <w:rsid w:val="00EB1C78"/>
    <w:rsid w:val="00EB2DB0"/>
    <w:rsid w:val="00EB2F40"/>
    <w:rsid w:val="00EC1648"/>
    <w:rsid w:val="00EC1AD4"/>
    <w:rsid w:val="00EC3CC8"/>
    <w:rsid w:val="00EC4CB8"/>
    <w:rsid w:val="00EC6428"/>
    <w:rsid w:val="00ED310D"/>
    <w:rsid w:val="00EE749A"/>
    <w:rsid w:val="00EE776A"/>
    <w:rsid w:val="00EE77A2"/>
    <w:rsid w:val="00EF3D58"/>
    <w:rsid w:val="00EF55E1"/>
    <w:rsid w:val="00EF7641"/>
    <w:rsid w:val="00F00B92"/>
    <w:rsid w:val="00F015FE"/>
    <w:rsid w:val="00F0166A"/>
    <w:rsid w:val="00F04166"/>
    <w:rsid w:val="00F1603F"/>
    <w:rsid w:val="00F17C00"/>
    <w:rsid w:val="00F32C71"/>
    <w:rsid w:val="00F364C5"/>
    <w:rsid w:val="00F41076"/>
    <w:rsid w:val="00F567F3"/>
    <w:rsid w:val="00F56B63"/>
    <w:rsid w:val="00F606A3"/>
    <w:rsid w:val="00F61A47"/>
    <w:rsid w:val="00F62428"/>
    <w:rsid w:val="00F725F0"/>
    <w:rsid w:val="00F7624C"/>
    <w:rsid w:val="00F815B7"/>
    <w:rsid w:val="00F86624"/>
    <w:rsid w:val="00F901BE"/>
    <w:rsid w:val="00F92FD8"/>
    <w:rsid w:val="00F94FC8"/>
    <w:rsid w:val="00F950DE"/>
    <w:rsid w:val="00FA0338"/>
    <w:rsid w:val="00FA1865"/>
    <w:rsid w:val="00FA4F15"/>
    <w:rsid w:val="00FA5CC9"/>
    <w:rsid w:val="00FB43FF"/>
    <w:rsid w:val="00FB5DED"/>
    <w:rsid w:val="00FB647D"/>
    <w:rsid w:val="00FB7B8B"/>
    <w:rsid w:val="00FC295F"/>
    <w:rsid w:val="00FD66C2"/>
    <w:rsid w:val="00FF0638"/>
    <w:rsid w:val="00FF1734"/>
    <w:rsid w:val="00FF3BC8"/>
    <w:rsid w:val="00FF4FB5"/>
    <w:rsid w:val="00FF55CC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225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2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32225"/>
    <w:pPr>
      <w:jc w:val="both"/>
    </w:pPr>
    <w:rPr>
      <w:b/>
      <w:sz w:val="16"/>
    </w:rPr>
  </w:style>
  <w:style w:type="character" w:customStyle="1" w:styleId="a4">
    <w:name w:val="Основной текст Знак"/>
    <w:basedOn w:val="a0"/>
    <w:link w:val="a3"/>
    <w:rsid w:val="00E3222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E32225"/>
    <w:pPr>
      <w:jc w:val="both"/>
    </w:pPr>
  </w:style>
  <w:style w:type="character" w:customStyle="1" w:styleId="22">
    <w:name w:val="Основной текст 2 Знак"/>
    <w:basedOn w:val="a0"/>
    <w:link w:val="21"/>
    <w:rsid w:val="00E3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32225"/>
    <w:pPr>
      <w:ind w:firstLine="426"/>
      <w:jc w:val="both"/>
    </w:pPr>
  </w:style>
  <w:style w:type="character" w:customStyle="1" w:styleId="24">
    <w:name w:val="Основной текст с отступом 2 Знак"/>
    <w:basedOn w:val="a0"/>
    <w:link w:val="23"/>
    <w:rsid w:val="00E3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E3222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322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9.xml"/><Relationship Id="rId18" Type="http://schemas.openxmlformats.org/officeDocument/2006/relationships/chart" Target="charts/chart12.xml"/><Relationship Id="rId26" Type="http://schemas.openxmlformats.org/officeDocument/2006/relationships/chart" Target="charts/chart18.xml"/><Relationship Id="rId3" Type="http://schemas.openxmlformats.org/officeDocument/2006/relationships/webSettings" Target="webSettings.xml"/><Relationship Id="rId21" Type="http://schemas.openxmlformats.org/officeDocument/2006/relationships/oleObject" Target="embeddings/_____Microsoft_Office_Excel_97-20031.xls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8.xml"/><Relationship Id="rId17" Type="http://schemas.openxmlformats.org/officeDocument/2006/relationships/package" Target="embeddings/______Microsoft_Office_PowerPoint11.sldx"/><Relationship Id="rId25" Type="http://schemas.openxmlformats.org/officeDocument/2006/relationships/chart" Target="charts/chart17.xml"/><Relationship Id="rId33" Type="http://schemas.openxmlformats.org/officeDocument/2006/relationships/chart" Target="charts/chart23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image" Target="media/image5.wmf"/><Relationship Id="rId29" Type="http://schemas.openxmlformats.org/officeDocument/2006/relationships/chart" Target="charts/chart2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7.xml"/><Relationship Id="rId24" Type="http://schemas.openxmlformats.org/officeDocument/2006/relationships/chart" Target="charts/chart16.xml"/><Relationship Id="rId32" Type="http://schemas.openxmlformats.org/officeDocument/2006/relationships/chart" Target="charts/chart22.xml"/><Relationship Id="rId5" Type="http://schemas.openxmlformats.org/officeDocument/2006/relationships/chart" Target="charts/chart2.xml"/><Relationship Id="rId15" Type="http://schemas.openxmlformats.org/officeDocument/2006/relationships/chart" Target="charts/chart11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6.xml"/><Relationship Id="rId19" Type="http://schemas.openxmlformats.org/officeDocument/2006/relationships/chart" Target="charts/chart13.xml"/><Relationship Id="rId31" Type="http://schemas.openxmlformats.org/officeDocument/2006/relationships/package" Target="embeddings/______Microsoft_Office_PowerPoint20.sldx"/><Relationship Id="rId4" Type="http://schemas.openxmlformats.org/officeDocument/2006/relationships/chart" Target="charts/chart1.xml"/><Relationship Id="rId9" Type="http://schemas.openxmlformats.org/officeDocument/2006/relationships/image" Target="media/image1.emf"/><Relationship Id="rId14" Type="http://schemas.openxmlformats.org/officeDocument/2006/relationships/chart" Target="charts/chart10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image" Target="media/image6.emf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9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102;&#1083;&#1083;&#1077;&#1090;&#1077;&#1085;&#1100;\&#1042;&#1080;&#1088;.%20&#1075;&#1077;&#1087;&#1072;&#1090;&#1080;&#1090;&#1099;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80;&#1095;&#1085;&#1099;&#1077;%20&#1087;&#1072;&#1087;&#1082;&#1080;\&#1050;&#1080;&#1089;&#1077;&#1083;&#1105;&#1074;&#1072;%20&#1052;.&#1040;\&#1054;&#1054;&#1048;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80;&#1095;&#1085;&#1099;&#1077;%20&#1087;&#1072;&#1087;&#1082;&#1080;\&#1050;&#1080;&#1089;&#1077;&#1083;&#1105;&#1074;&#1072;%20&#1052;.&#1040;\&#1054;&#1073;&#1083;&#1062;&#1043;&#1069;\&#1089;&#1072;&#1083;&#1100;&#1084;&#1086;&#1085;&#1077;&#1083;&#1083;&#1105;&#1079;%20&#1088;&#1077;&#1090;&#1088;&#1086;&#1089;&#1087;.%20&#1076;&#1083;&#1103;%20&#1086;&#1073;&#1083;%20,&#1062;&#1043;&#1069;\&#1057;&#1045;&#1047;&#1054;&#1053;&#1053;&#1040;&#1071;%20&#1047;&#1040;&#1041;&#1054;&#1051;&#1045;&#1042;&#1040;&#1045;&#1052;&#1054;&#1057;&#1058;&#1068;%20&#1086;&#1073;&#1097;&#1072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71962616822432E-2"/>
          <c:y val="3.7656903765690392E-2"/>
          <c:w val="0.89158878504672856"/>
          <c:h val="0.7112970711297073"/>
        </c:manualLayout>
      </c:layout>
      <c:bar3DChart>
        <c:barDir val="col"/>
        <c:grouping val="clustered"/>
        <c:ser>
          <c:idx val="0"/>
          <c:order val="0"/>
          <c:tx>
            <c:v>могилев</c:v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8859">
              <a:solidFill>
                <a:srgbClr val="000000"/>
              </a:solidFill>
              <a:prstDash val="solid"/>
            </a:ln>
          </c:spPr>
          <c:cat>
            <c:numRef>
              <c:f>Лист3!$A$1:$L$1</c:f>
              <c:numCache>
                <c:formatCode>General</c:formatCode>
                <c:ptCount val="1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</c:numCache>
            </c:numRef>
          </c:cat>
          <c:val>
            <c:numRef>
              <c:f>Лист3!$A$2:$L$2</c:f>
              <c:numCache>
                <c:formatCode>General</c:formatCode>
                <c:ptCount val="12"/>
                <c:pt idx="0">
                  <c:v>41074.82</c:v>
                </c:pt>
                <c:pt idx="1">
                  <c:v>45170.87</c:v>
                </c:pt>
                <c:pt idx="2">
                  <c:v>48336.450000000012</c:v>
                </c:pt>
                <c:pt idx="3">
                  <c:v>47472.374000000003</c:v>
                </c:pt>
                <c:pt idx="4">
                  <c:v>43793.1</c:v>
                </c:pt>
                <c:pt idx="5">
                  <c:v>43901.08</c:v>
                </c:pt>
                <c:pt idx="6">
                  <c:v>40924.51</c:v>
                </c:pt>
                <c:pt idx="7">
                  <c:v>40752.450000000012</c:v>
                </c:pt>
                <c:pt idx="8">
                  <c:v>43385.09</c:v>
                </c:pt>
                <c:pt idx="9">
                  <c:v>41126.33</c:v>
                </c:pt>
                <c:pt idx="10">
                  <c:v>42889.64</c:v>
                </c:pt>
                <c:pt idx="11">
                  <c:v>39223.18</c:v>
                </c:pt>
              </c:numCache>
            </c:numRef>
          </c:val>
        </c:ser>
        <c:shape val="box"/>
        <c:axId val="251096448"/>
        <c:axId val="251131008"/>
        <c:axId val="0"/>
      </c:bar3DChart>
      <c:catAx>
        <c:axId val="251096448"/>
        <c:scaling>
          <c:orientation val="minMax"/>
        </c:scaling>
        <c:axPos val="b"/>
        <c:numFmt formatCode="General" sourceLinked="1"/>
        <c:tickLblPos val="low"/>
        <c:spPr>
          <a:ln w="22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1131008"/>
        <c:crosses val="autoZero"/>
        <c:auto val="1"/>
        <c:lblAlgn val="ctr"/>
        <c:lblOffset val="100"/>
        <c:tickLblSkip val="1"/>
        <c:tickMarkSkip val="1"/>
      </c:catAx>
      <c:valAx>
        <c:axId val="251131008"/>
        <c:scaling>
          <c:orientation val="minMax"/>
        </c:scaling>
        <c:axPos val="l"/>
        <c:majorGridlines>
          <c:spPr>
            <a:ln w="221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2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8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1096448"/>
        <c:crosses val="autoZero"/>
        <c:crossBetween val="between"/>
      </c:valAx>
      <c:spPr>
        <a:solidFill>
          <a:srgbClr val="FFFFFF"/>
        </a:solidFill>
        <a:ln w="17718">
          <a:noFill/>
        </a:ln>
      </c:spPr>
    </c:plotArea>
    <c:legend>
      <c:legendPos val="b"/>
      <c:layout>
        <c:manualLayout>
          <c:xMode val="edge"/>
          <c:yMode val="edge"/>
          <c:x val="0.44112149532710282"/>
          <c:y val="0.89539748953974896"/>
          <c:w val="0.11775700934579438"/>
          <c:h val="9.2050209205020925E-2"/>
        </c:manualLayout>
      </c:layout>
      <c:spPr>
        <a:solidFill>
          <a:srgbClr val="FFFFFF"/>
        </a:solidFill>
        <a:ln w="2215">
          <a:solidFill>
            <a:srgbClr val="000000"/>
          </a:solidFill>
          <a:prstDash val="solid"/>
        </a:ln>
      </c:spPr>
      <c:txPr>
        <a:bodyPr/>
        <a:lstStyle/>
        <a:p>
          <a:pPr>
            <a:defRPr sz="51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5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7165991902834023E-2"/>
          <c:y val="7.6923076923076927E-2"/>
          <c:w val="0.88259109311740891"/>
          <c:h val="0.6639676113360326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 г.Могилев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253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4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Краснуха</c:v>
                </c:pt>
                <c:pt idx="1">
                  <c:v>Эпидемический паротит</c:v>
                </c:pt>
                <c:pt idx="2">
                  <c:v>Вирусный гепатит В</c:v>
                </c:pt>
                <c:pt idx="3">
                  <c:v>Вирусный гепатит А</c:v>
                </c:pt>
                <c:pt idx="4">
                  <c:v>Коклюш</c:v>
                </c:pt>
                <c:pt idx="5">
                  <c:v>Дифтерия</c:v>
                </c:pt>
                <c:pt idx="6">
                  <c:v>Корь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5.6899999999999995</c:v>
                </c:pt>
                <c:pt idx="2">
                  <c:v>2.44</c:v>
                </c:pt>
                <c:pt idx="3">
                  <c:v>1.08</c:v>
                </c:pt>
                <c:pt idx="4">
                  <c:v>7.04</c:v>
                </c:pt>
                <c:pt idx="5">
                  <c:v>0.54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 г.Могилев</c:v>
                </c:pt>
              </c:strCache>
            </c:strRef>
          </c:tx>
          <c:spPr>
            <a:solidFill>
              <a:srgbClr val="FF99CC"/>
            </a:solidFill>
            <a:ln w="25399">
              <a:solidFill>
                <a:srgbClr val="00008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777327935222678"/>
                  <c:y val="0.5991902834008097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7327935222672056"/>
                  <c:y val="0.3562753036437246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0080971659919035"/>
                  <c:y val="0.5425101214574896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2226720647773262"/>
                  <c:y val="0.47368421052631576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5182186234817896"/>
                  <c:y val="0.24291497975708506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8542510121457509"/>
                  <c:y val="0.69230769230769251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4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Краснуха</c:v>
                </c:pt>
                <c:pt idx="1">
                  <c:v>Эпидемический паротит</c:v>
                </c:pt>
                <c:pt idx="2">
                  <c:v>Вирусный гепатит В</c:v>
                </c:pt>
                <c:pt idx="3">
                  <c:v>Вирусный гепатит А</c:v>
                </c:pt>
                <c:pt idx="4">
                  <c:v>Коклюш</c:v>
                </c:pt>
                <c:pt idx="5">
                  <c:v>Дифтерия</c:v>
                </c:pt>
                <c:pt idx="6">
                  <c:v>Корь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0.27</c:v>
                </c:pt>
                <c:pt idx="1">
                  <c:v>3.7800000000000002</c:v>
                </c:pt>
                <c:pt idx="2">
                  <c:v>1.35</c:v>
                </c:pt>
                <c:pt idx="3">
                  <c:v>2.16</c:v>
                </c:pt>
                <c:pt idx="4">
                  <c:v>5.4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Целевые показатели к 2010г.</c:v>
                </c:pt>
              </c:strCache>
            </c:strRef>
          </c:tx>
          <c:spPr>
            <a:solidFill>
              <a:srgbClr val="FF0000"/>
            </a:solidFill>
            <a:ln w="2539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30971659919028355"/>
                  <c:y val="0.6761133603238869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3319838056680171"/>
                  <c:y val="0.6477732793522267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607287449392715"/>
                  <c:y val="0.6761133603238869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8623481781376539"/>
                  <c:y val="0.67611336032388691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4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Краснуха</c:v>
                </c:pt>
                <c:pt idx="1">
                  <c:v>Эпидемический паротит</c:v>
                </c:pt>
                <c:pt idx="2">
                  <c:v>Вирусный гепатит В</c:v>
                </c:pt>
                <c:pt idx="3">
                  <c:v>Вирусный гепатит А</c:v>
                </c:pt>
                <c:pt idx="4">
                  <c:v>Коклюш</c:v>
                </c:pt>
                <c:pt idx="5">
                  <c:v>Дифтерия</c:v>
                </c:pt>
                <c:pt idx="6">
                  <c:v>Корь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0.1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axId val="273218560"/>
        <c:axId val="273240832"/>
      </c:barChart>
      <c:catAx>
        <c:axId val="27321856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3240832"/>
        <c:crosses val="autoZero"/>
        <c:auto val="1"/>
        <c:lblAlgn val="ctr"/>
        <c:lblOffset val="100"/>
        <c:tickLblSkip val="1"/>
        <c:tickMarkSkip val="1"/>
      </c:catAx>
      <c:valAx>
        <c:axId val="273240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показатель на 100 тыс. населения</a:t>
                </a:r>
              </a:p>
            </c:rich>
          </c:tx>
          <c:layout>
            <c:manualLayout>
              <c:xMode val="edge"/>
              <c:yMode val="edge"/>
              <c:x val="2.2267206477732799E-2"/>
              <c:y val="0.15789473684210537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3218560"/>
        <c:crosses val="autoZero"/>
        <c:crossBetween val="between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0728744939271287E-2"/>
          <c:y val="0.89878542510121451"/>
          <c:w val="0.91295546558704455"/>
          <c:h val="8.90688259109312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73476702508966"/>
          <c:y val="6.097560975609756E-2"/>
          <c:w val="0.87455197132616491"/>
          <c:h val="0.7682926829268295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эпидпаротит </c:v>
                </c:pt>
              </c:strCache>
            </c:strRef>
          </c:tx>
          <c:spPr>
            <a:ln w="42252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25.9</c:v>
                </c:pt>
                <c:pt idx="1">
                  <c:v>13.3</c:v>
                </c:pt>
                <c:pt idx="2">
                  <c:v>4.7</c:v>
                </c:pt>
                <c:pt idx="3">
                  <c:v>2.69</c:v>
                </c:pt>
                <c:pt idx="4">
                  <c:v>2.68</c:v>
                </c:pt>
                <c:pt idx="5">
                  <c:v>5.6</c:v>
                </c:pt>
                <c:pt idx="6">
                  <c:v>3.88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эпидпаротит (обл.)</c:v>
                </c:pt>
              </c:strCache>
            </c:strRef>
          </c:tx>
          <c:spPr>
            <a:ln w="23656">
              <a:solidFill>
                <a:srgbClr val="993366"/>
              </a:solidFill>
              <a:prstDash val="lgDashDotDot"/>
            </a:ln>
          </c:spPr>
          <c:marker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37.230000000000011</c:v>
                </c:pt>
                <c:pt idx="1">
                  <c:v>12.3</c:v>
                </c:pt>
                <c:pt idx="2">
                  <c:v>3.88</c:v>
                </c:pt>
                <c:pt idx="3">
                  <c:v>2.4299999999999997</c:v>
                </c:pt>
                <c:pt idx="4">
                  <c:v>3.07</c:v>
                </c:pt>
                <c:pt idx="5">
                  <c:v>4.22</c:v>
                </c:pt>
                <c:pt idx="6">
                  <c:v>3.69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краснуха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  <c:pt idx="0">
                  <c:v>24</c:v>
                </c:pt>
                <c:pt idx="1">
                  <c:v>8.8000000000000007</c:v>
                </c:pt>
                <c:pt idx="2">
                  <c:v>2</c:v>
                </c:pt>
                <c:pt idx="3">
                  <c:v>4.88</c:v>
                </c:pt>
                <c:pt idx="4">
                  <c:v>6.8199999999999985</c:v>
                </c:pt>
                <c:pt idx="5">
                  <c:v>0</c:v>
                </c:pt>
                <c:pt idx="6">
                  <c:v>0.24000000000000005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краснуха (обл.)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Sheet1!$E$2:$E$8</c:f>
              <c:numCache>
                <c:formatCode>General</c:formatCode>
                <c:ptCount val="7"/>
                <c:pt idx="0">
                  <c:v>17.03</c:v>
                </c:pt>
                <c:pt idx="1">
                  <c:v>6.3199999999999985</c:v>
                </c:pt>
                <c:pt idx="2">
                  <c:v>2.8499999999999992</c:v>
                </c:pt>
                <c:pt idx="3">
                  <c:v>5.2</c:v>
                </c:pt>
                <c:pt idx="4">
                  <c:v>13.5</c:v>
                </c:pt>
                <c:pt idx="5">
                  <c:v>0</c:v>
                </c:pt>
                <c:pt idx="6">
                  <c:v>8.0000000000000029E-2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Коклюш</c:v>
                </c:pt>
              </c:strCache>
            </c:strRef>
          </c:tx>
          <c:spPr>
            <a:ln w="23656">
              <a:solidFill>
                <a:srgbClr val="33CCCC"/>
              </a:solidFill>
              <a:prstDash val="sysDash"/>
            </a:ln>
          </c:spPr>
          <c:marker>
            <c:spPr>
              <a:solidFill>
                <a:srgbClr val="33CCCC"/>
              </a:solidFill>
              <a:ln>
                <a:solidFill>
                  <a:srgbClr val="33CCCC"/>
                </a:solidFill>
                <a:prstDash val="solid"/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Sheet1!$F$2:$F$8</c:f>
              <c:numCache>
                <c:formatCode>General</c:formatCode>
                <c:ptCount val="7"/>
                <c:pt idx="0">
                  <c:v>3.58</c:v>
                </c:pt>
                <c:pt idx="1">
                  <c:v>2.4699999999999998</c:v>
                </c:pt>
                <c:pt idx="2">
                  <c:v>1.9200000000000004</c:v>
                </c:pt>
                <c:pt idx="3">
                  <c:v>1.37</c:v>
                </c:pt>
                <c:pt idx="4">
                  <c:v>4.3599999999999985</c:v>
                </c:pt>
                <c:pt idx="5">
                  <c:v>7.04</c:v>
                </c:pt>
                <c:pt idx="6">
                  <c:v>5.4</c:v>
                </c:pt>
              </c:numCache>
            </c:numRef>
          </c:val>
        </c:ser>
        <c:marker val="1"/>
        <c:axId val="273509376"/>
        <c:axId val="273523840"/>
      </c:lineChart>
      <c:catAx>
        <c:axId val="273509376"/>
        <c:scaling>
          <c:orientation val="minMax"/>
        </c:scaling>
        <c:axPos val="b"/>
        <c:majorGridlines>
          <c:spPr>
            <a:ln w="14084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3523840"/>
        <c:crosses val="autoZero"/>
        <c:auto val="1"/>
        <c:lblAlgn val="ctr"/>
        <c:lblOffset val="100"/>
        <c:tickLblSkip val="1"/>
        <c:tickMarkSkip val="1"/>
      </c:catAx>
      <c:valAx>
        <c:axId val="273523840"/>
        <c:scaling>
          <c:orientation val="minMax"/>
        </c:scaling>
        <c:axPos val="l"/>
        <c:majorGridlines>
          <c:spPr>
            <a:ln w="14084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показатель на 100 тыс. населения</a:t>
                </a:r>
              </a:p>
            </c:rich>
          </c:tx>
          <c:layout>
            <c:manualLayout>
              <c:xMode val="edge"/>
              <c:yMode val="edge"/>
              <c:x val="1.9169473763193858E-2"/>
              <c:y val="0.1834170192538559"/>
            </c:manualLayout>
          </c:layout>
          <c:spPr>
            <a:noFill/>
            <a:ln w="23656">
              <a:noFill/>
            </a:ln>
          </c:spPr>
        </c:title>
        <c:numFmt formatCode="General" sourceLinked="1"/>
        <c:tickLblPos val="nextTo"/>
        <c:spPr>
          <a:ln w="3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3509376"/>
        <c:crosses val="autoZero"/>
        <c:crossBetween val="between"/>
      </c:valAx>
      <c:spPr>
        <a:solidFill>
          <a:srgbClr val="FFFFCC"/>
        </a:solidFill>
        <a:ln w="295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620071684587814"/>
          <c:y val="0.90548780487804859"/>
          <c:w val="0.8602150537634411"/>
          <c:h val="9.7560975609756156E-2"/>
        </c:manualLayout>
      </c:layout>
      <c:spPr>
        <a:solidFill>
          <a:srgbClr val="FFFFFF"/>
        </a:solidFill>
        <a:ln w="3521">
          <a:solidFill>
            <a:srgbClr val="000000"/>
          </a:solidFill>
          <a:prstDash val="solid"/>
        </a:ln>
      </c:spPr>
      <c:txPr>
        <a:bodyPr/>
        <a:lstStyle/>
        <a:p>
          <a:pPr>
            <a:defRPr sz="6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CC00"/>
    </a:solidFill>
    <a:ln>
      <a:noFill/>
    </a:ln>
  </c:spPr>
  <c:txPr>
    <a:bodyPr/>
    <a:lstStyle/>
    <a:p>
      <a:pPr>
        <a:defRPr sz="74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88808664259926"/>
          <c:y val="4.7318611987381749E-2"/>
          <c:w val="0.88086642599277942"/>
          <c:h val="0.7381703470031546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Динамика заболеваемости ВГА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name>Тенденция заболеваемости ВГА</c:name>
            <c:spPr>
              <a:ln w="38099">
                <a:solidFill>
                  <a:srgbClr val="000080"/>
                </a:solidFill>
                <a:prstDash val="solid"/>
              </a:ln>
            </c:spPr>
            <c:trendlineType val="linear"/>
          </c:trendline>
          <c:cat>
            <c:numRef>
              <c:f>Sheet1!$A$2:$A$23</c:f>
              <c:numCache>
                <c:formatCode>General</c:formatCode>
                <c:ptCount val="22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</c:numCache>
            </c:num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137.5</c:v>
                </c:pt>
                <c:pt idx="1">
                  <c:v>130</c:v>
                </c:pt>
                <c:pt idx="2">
                  <c:v>314.5</c:v>
                </c:pt>
                <c:pt idx="3">
                  <c:v>385.9</c:v>
                </c:pt>
                <c:pt idx="4">
                  <c:v>122.5</c:v>
                </c:pt>
                <c:pt idx="5">
                  <c:v>60.5</c:v>
                </c:pt>
                <c:pt idx="6">
                  <c:v>56.9</c:v>
                </c:pt>
                <c:pt idx="7">
                  <c:v>43.9</c:v>
                </c:pt>
                <c:pt idx="8">
                  <c:v>28.8</c:v>
                </c:pt>
                <c:pt idx="9">
                  <c:v>14.9</c:v>
                </c:pt>
                <c:pt idx="10">
                  <c:v>38.4</c:v>
                </c:pt>
                <c:pt idx="11">
                  <c:v>10.8</c:v>
                </c:pt>
                <c:pt idx="12">
                  <c:v>8.9</c:v>
                </c:pt>
                <c:pt idx="13">
                  <c:v>34.300000000000004</c:v>
                </c:pt>
                <c:pt idx="14">
                  <c:v>34.300000000000004</c:v>
                </c:pt>
                <c:pt idx="15">
                  <c:v>20.7</c:v>
                </c:pt>
                <c:pt idx="16">
                  <c:v>14.3</c:v>
                </c:pt>
                <c:pt idx="17">
                  <c:v>25.2</c:v>
                </c:pt>
                <c:pt idx="18">
                  <c:v>7.1199999999999983</c:v>
                </c:pt>
                <c:pt idx="19">
                  <c:v>0.55000000000000004</c:v>
                </c:pt>
                <c:pt idx="20">
                  <c:v>1.08</c:v>
                </c:pt>
                <c:pt idx="21">
                  <c:v>2.16</c:v>
                </c:pt>
              </c:numCache>
            </c:numRef>
          </c:val>
        </c:ser>
        <c:marker val="1"/>
        <c:axId val="273537280"/>
        <c:axId val="273547264"/>
      </c:lineChart>
      <c:catAx>
        <c:axId val="2735372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547264"/>
        <c:crosses val="autoZero"/>
        <c:auto val="1"/>
        <c:lblAlgn val="ctr"/>
        <c:lblOffset val="100"/>
        <c:tickLblSkip val="3"/>
        <c:tickMarkSkip val="1"/>
      </c:catAx>
      <c:valAx>
        <c:axId val="273547264"/>
        <c:scaling>
          <c:orientation val="minMax"/>
          <c:max val="42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Показатель заболеваемости на 100 тыс</a:t>
                </a:r>
              </a:p>
            </c:rich>
          </c:tx>
          <c:layout>
            <c:manualLayout>
              <c:xMode val="edge"/>
              <c:yMode val="edge"/>
              <c:x val="0"/>
              <c:y val="8.5173501577287064E-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537280"/>
        <c:crosses val="autoZero"/>
        <c:crossBetween val="between"/>
        <c:majorUnit val="50"/>
      </c:valAx>
      <c:spPr>
        <a:solidFill>
          <a:srgbClr val="FF99CC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552346570397112"/>
          <c:y val="0.91167192429022081"/>
          <c:w val="0.7563176895306859"/>
          <c:h val="8.832807570977924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CC99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488407699037621E-2"/>
          <c:y val="5.1400554097404488E-2"/>
          <c:w val="0.86909055118110323"/>
          <c:h val="0.66042286380869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заболеваемости ВГВ</c:v>
                </c:pt>
              </c:strCache>
            </c:strRef>
          </c:tx>
          <c:marker>
            <c:symbol val="none"/>
          </c:marker>
          <c:trendline>
            <c:trendlineType val="exp"/>
          </c:trendline>
          <c:cat>
            <c:numRef>
              <c:f>Лист1!$A$2:$A$23</c:f>
              <c:numCache>
                <c:formatCode>General</c:formatCode>
                <c:ptCount val="22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25.4</c:v>
                </c:pt>
                <c:pt idx="1">
                  <c:v>28</c:v>
                </c:pt>
                <c:pt idx="2">
                  <c:v>21.8</c:v>
                </c:pt>
                <c:pt idx="3">
                  <c:v>21.4</c:v>
                </c:pt>
                <c:pt idx="4">
                  <c:v>15.4</c:v>
                </c:pt>
                <c:pt idx="5">
                  <c:v>15.5</c:v>
                </c:pt>
                <c:pt idx="6">
                  <c:v>21.1</c:v>
                </c:pt>
                <c:pt idx="7">
                  <c:v>13.7</c:v>
                </c:pt>
                <c:pt idx="8">
                  <c:v>14.1</c:v>
                </c:pt>
                <c:pt idx="9">
                  <c:v>19.8</c:v>
                </c:pt>
                <c:pt idx="10">
                  <c:v>27.3</c:v>
                </c:pt>
                <c:pt idx="11">
                  <c:v>20.100000000000001</c:v>
                </c:pt>
                <c:pt idx="12">
                  <c:v>11.5</c:v>
                </c:pt>
                <c:pt idx="13">
                  <c:v>6.9</c:v>
                </c:pt>
                <c:pt idx="14">
                  <c:v>5.3</c:v>
                </c:pt>
                <c:pt idx="15">
                  <c:v>4.0999999999999996</c:v>
                </c:pt>
                <c:pt idx="16">
                  <c:v>6.6</c:v>
                </c:pt>
                <c:pt idx="17">
                  <c:v>4.0999999999999996</c:v>
                </c:pt>
                <c:pt idx="18">
                  <c:v>4.4000000000000004</c:v>
                </c:pt>
                <c:pt idx="19">
                  <c:v>1.6</c:v>
                </c:pt>
                <c:pt idx="20">
                  <c:v>2.4</c:v>
                </c:pt>
                <c:pt idx="21">
                  <c:v>1.35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Динамика заболеваемости ВГС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cat>
            <c:numRef>
              <c:f>Лист1!$A$2:$A$23</c:f>
              <c:numCache>
                <c:formatCode>General</c:formatCode>
                <c:ptCount val="22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7">
                  <c:v>3.02</c:v>
                </c:pt>
                <c:pt idx="8">
                  <c:v>1.9000000000000001</c:v>
                </c:pt>
                <c:pt idx="9">
                  <c:v>1.6</c:v>
                </c:pt>
                <c:pt idx="10">
                  <c:v>2.9</c:v>
                </c:pt>
                <c:pt idx="11">
                  <c:v>1.6</c:v>
                </c:pt>
                <c:pt idx="12">
                  <c:v>1.3</c:v>
                </c:pt>
                <c:pt idx="13">
                  <c:v>2.2000000000000002</c:v>
                </c:pt>
                <c:pt idx="14">
                  <c:v>2.5</c:v>
                </c:pt>
                <c:pt idx="15">
                  <c:v>1.6</c:v>
                </c:pt>
                <c:pt idx="16">
                  <c:v>1.4</c:v>
                </c:pt>
                <c:pt idx="17">
                  <c:v>0.8</c:v>
                </c:pt>
                <c:pt idx="18">
                  <c:v>0.5</c:v>
                </c:pt>
                <c:pt idx="19">
                  <c:v>1.6</c:v>
                </c:pt>
                <c:pt idx="20">
                  <c:v>0.5</c:v>
                </c:pt>
                <c:pt idx="21">
                  <c:v>0.5</c:v>
                </c:pt>
              </c:numCache>
            </c:numRef>
          </c:val>
        </c:ser>
        <c:marker val="1"/>
        <c:axId val="273561088"/>
        <c:axId val="273562624"/>
      </c:lineChart>
      <c:catAx>
        <c:axId val="273561088"/>
        <c:scaling>
          <c:orientation val="minMax"/>
        </c:scaling>
        <c:axPos val="b"/>
        <c:numFmt formatCode="General" sourceLinked="1"/>
        <c:tickLblPos val="nextTo"/>
        <c:crossAx val="273562624"/>
        <c:crosses val="autoZero"/>
        <c:auto val="1"/>
        <c:lblAlgn val="ctr"/>
        <c:lblOffset val="100"/>
      </c:catAx>
      <c:valAx>
        <c:axId val="273562624"/>
        <c:scaling>
          <c:orientation val="minMax"/>
        </c:scaling>
        <c:axPos val="l"/>
        <c:majorGridlines/>
        <c:numFmt formatCode="General" sourceLinked="1"/>
        <c:tickLblPos val="nextTo"/>
        <c:crossAx val="273561088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9.5055555555555685E-2"/>
          <c:y val="0.83179790026246714"/>
          <c:w val="0.79441666666666599"/>
          <c:h val="0.16743438320210008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995951417004055E-2"/>
          <c:y val="2.6819923371647517E-2"/>
          <c:w val="0.91093117408906887"/>
          <c:h val="0.75478927203065171"/>
        </c:manualLayout>
      </c:layout>
      <c:barChart>
        <c:barDir val="col"/>
        <c:grouping val="clustered"/>
        <c:ser>
          <c:idx val="1"/>
          <c:order val="0"/>
          <c:tx>
            <c:strRef>
              <c:f>Sheet1!$B$1</c:f>
              <c:strCache>
                <c:ptCount val="1"/>
                <c:pt idx="0">
                  <c:v> гонорея</c:v>
                </c:pt>
              </c:strCache>
            </c:strRef>
          </c:tx>
          <c:spPr>
            <a:solidFill>
              <a:srgbClr val="00FFFF"/>
            </a:solidFill>
            <a:ln w="38100">
              <a:solidFill>
                <a:srgbClr val="00FFFF"/>
              </a:solidFill>
              <a:prstDash val="solid"/>
            </a:ln>
          </c:spPr>
          <c:trendline>
            <c:name>тенденция </c:name>
            <c:spPr>
              <a:ln w="38100">
                <a:solidFill>
                  <a:srgbClr val="00FFFF"/>
                </a:solidFill>
                <a:prstDash val="solid"/>
              </a:ln>
            </c:spPr>
            <c:trendlineType val="linear"/>
          </c:trendline>
          <c:cat>
            <c:numRef>
              <c:f>Sheet1!$A$2:$A$40</c:f>
              <c:numCache>
                <c:formatCode>General</c:formatCode>
                <c:ptCount val="39"/>
                <c:pt idx="0">
                  <c:v>1970</c:v>
                </c:pt>
                <c:pt idx="3">
                  <c:v>1973</c:v>
                </c:pt>
                <c:pt idx="6">
                  <c:v>1976</c:v>
                </c:pt>
                <c:pt idx="9">
                  <c:v>1979</c:v>
                </c:pt>
                <c:pt idx="12">
                  <c:v>1982</c:v>
                </c:pt>
                <c:pt idx="15">
                  <c:v>1985</c:v>
                </c:pt>
                <c:pt idx="18">
                  <c:v>1988</c:v>
                </c:pt>
                <c:pt idx="21">
                  <c:v>1991</c:v>
                </c:pt>
                <c:pt idx="24">
                  <c:v>1994</c:v>
                </c:pt>
                <c:pt idx="27">
                  <c:v>1997</c:v>
                </c:pt>
                <c:pt idx="30">
                  <c:v>2000</c:v>
                </c:pt>
                <c:pt idx="33">
                  <c:v>2003</c:v>
                </c:pt>
                <c:pt idx="34">
                  <c:v>2004</c:v>
                </c:pt>
                <c:pt idx="35">
                  <c:v>2005</c:v>
                </c:pt>
                <c:pt idx="36">
                  <c:v>2006</c:v>
                </c:pt>
                <c:pt idx="37">
                  <c:v>2007</c:v>
                </c:pt>
                <c:pt idx="38">
                  <c:v>2008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0">
                  <c:v>93</c:v>
                </c:pt>
                <c:pt idx="1">
                  <c:v>95.9</c:v>
                </c:pt>
                <c:pt idx="2">
                  <c:v>93.6</c:v>
                </c:pt>
                <c:pt idx="3">
                  <c:v>106.1</c:v>
                </c:pt>
                <c:pt idx="4">
                  <c:v>164</c:v>
                </c:pt>
                <c:pt idx="5">
                  <c:v>168.8</c:v>
                </c:pt>
                <c:pt idx="6">
                  <c:v>156</c:v>
                </c:pt>
                <c:pt idx="7">
                  <c:v>209</c:v>
                </c:pt>
                <c:pt idx="8">
                  <c:v>228</c:v>
                </c:pt>
                <c:pt idx="9">
                  <c:v>192.9</c:v>
                </c:pt>
                <c:pt idx="10">
                  <c:v>227.7</c:v>
                </c:pt>
                <c:pt idx="11">
                  <c:v>271.8</c:v>
                </c:pt>
                <c:pt idx="12">
                  <c:v>180.9</c:v>
                </c:pt>
                <c:pt idx="13">
                  <c:v>174</c:v>
                </c:pt>
                <c:pt idx="14">
                  <c:v>143</c:v>
                </c:pt>
                <c:pt idx="15">
                  <c:v>128.1</c:v>
                </c:pt>
                <c:pt idx="16">
                  <c:v>147.1</c:v>
                </c:pt>
                <c:pt idx="17">
                  <c:v>112.7</c:v>
                </c:pt>
                <c:pt idx="18">
                  <c:v>125.9</c:v>
                </c:pt>
                <c:pt idx="19">
                  <c:v>127.4</c:v>
                </c:pt>
                <c:pt idx="20">
                  <c:v>112.8</c:v>
                </c:pt>
                <c:pt idx="21">
                  <c:v>132.96</c:v>
                </c:pt>
                <c:pt idx="22">
                  <c:v>173.9</c:v>
                </c:pt>
                <c:pt idx="23">
                  <c:v>216.6</c:v>
                </c:pt>
                <c:pt idx="24">
                  <c:v>269.5</c:v>
                </c:pt>
                <c:pt idx="25">
                  <c:v>257.3</c:v>
                </c:pt>
                <c:pt idx="26">
                  <c:v>176.8</c:v>
                </c:pt>
                <c:pt idx="27">
                  <c:v>139.9</c:v>
                </c:pt>
                <c:pt idx="28">
                  <c:v>133.65</c:v>
                </c:pt>
                <c:pt idx="29">
                  <c:v>192.73</c:v>
                </c:pt>
                <c:pt idx="30">
                  <c:v>167.13</c:v>
                </c:pt>
                <c:pt idx="31">
                  <c:v>134.20999999999998</c:v>
                </c:pt>
                <c:pt idx="32">
                  <c:v>89.34</c:v>
                </c:pt>
                <c:pt idx="33">
                  <c:v>77.5</c:v>
                </c:pt>
                <c:pt idx="34">
                  <c:v>87.649999999999991</c:v>
                </c:pt>
                <c:pt idx="35">
                  <c:v>96.4</c:v>
                </c:pt>
                <c:pt idx="36">
                  <c:v>95.4</c:v>
                </c:pt>
                <c:pt idx="37">
                  <c:v>77.7</c:v>
                </c:pt>
                <c:pt idx="38">
                  <c:v>70.149999999999991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сифилис </c:v>
                </c:pt>
              </c:strCache>
            </c:strRef>
          </c:tx>
          <c:spPr>
            <a:solidFill>
              <a:srgbClr val="000000"/>
            </a:solidFill>
            <a:ln w="38100">
              <a:solidFill>
                <a:srgbClr val="000000"/>
              </a:solidFill>
              <a:prstDash val="solid"/>
            </a:ln>
          </c:spPr>
          <c:trendline>
            <c:name>тенденция </c:name>
            <c:spPr>
              <a:ln w="38100">
                <a:solidFill>
                  <a:srgbClr val="000000"/>
                </a:solidFill>
                <a:prstDash val="solid"/>
              </a:ln>
            </c:spPr>
            <c:trendlineType val="linear"/>
          </c:trendline>
          <c:cat>
            <c:numRef>
              <c:f>Sheet1!$A$2:$A$40</c:f>
              <c:numCache>
                <c:formatCode>General</c:formatCode>
                <c:ptCount val="39"/>
                <c:pt idx="0">
                  <c:v>1970</c:v>
                </c:pt>
                <c:pt idx="3">
                  <c:v>1973</c:v>
                </c:pt>
                <c:pt idx="6">
                  <c:v>1976</c:v>
                </c:pt>
                <c:pt idx="9">
                  <c:v>1979</c:v>
                </c:pt>
                <c:pt idx="12">
                  <c:v>1982</c:v>
                </c:pt>
                <c:pt idx="15">
                  <c:v>1985</c:v>
                </c:pt>
                <c:pt idx="18">
                  <c:v>1988</c:v>
                </c:pt>
                <c:pt idx="21">
                  <c:v>1991</c:v>
                </c:pt>
                <c:pt idx="24">
                  <c:v>1994</c:v>
                </c:pt>
                <c:pt idx="27">
                  <c:v>1997</c:v>
                </c:pt>
                <c:pt idx="30">
                  <c:v>2000</c:v>
                </c:pt>
                <c:pt idx="33">
                  <c:v>2003</c:v>
                </c:pt>
                <c:pt idx="34">
                  <c:v>2004</c:v>
                </c:pt>
                <c:pt idx="35">
                  <c:v>2005</c:v>
                </c:pt>
                <c:pt idx="36">
                  <c:v>2006</c:v>
                </c:pt>
                <c:pt idx="37">
                  <c:v>2007</c:v>
                </c:pt>
                <c:pt idx="38">
                  <c:v>2008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7.5</c:v>
                </c:pt>
                <c:pt idx="1">
                  <c:v>3</c:v>
                </c:pt>
                <c:pt idx="2">
                  <c:v>3.2</c:v>
                </c:pt>
                <c:pt idx="3">
                  <c:v>8.4</c:v>
                </c:pt>
                <c:pt idx="4">
                  <c:v>9.6</c:v>
                </c:pt>
                <c:pt idx="5">
                  <c:v>3.3</c:v>
                </c:pt>
                <c:pt idx="6">
                  <c:v>8.1</c:v>
                </c:pt>
                <c:pt idx="7">
                  <c:v>5.0999999999999996</c:v>
                </c:pt>
                <c:pt idx="8">
                  <c:v>10.8</c:v>
                </c:pt>
                <c:pt idx="9">
                  <c:v>22</c:v>
                </c:pt>
                <c:pt idx="10">
                  <c:v>14.5</c:v>
                </c:pt>
                <c:pt idx="11">
                  <c:v>7.6</c:v>
                </c:pt>
                <c:pt idx="12">
                  <c:v>4.2</c:v>
                </c:pt>
                <c:pt idx="13">
                  <c:v>8.3000000000000007</c:v>
                </c:pt>
                <c:pt idx="14">
                  <c:v>7.6</c:v>
                </c:pt>
                <c:pt idx="15">
                  <c:v>4.5</c:v>
                </c:pt>
                <c:pt idx="16">
                  <c:v>4.8</c:v>
                </c:pt>
                <c:pt idx="17">
                  <c:v>2.2000000000000002</c:v>
                </c:pt>
                <c:pt idx="18">
                  <c:v>0.5</c:v>
                </c:pt>
                <c:pt idx="19">
                  <c:v>3.6</c:v>
                </c:pt>
                <c:pt idx="20">
                  <c:v>1.6</c:v>
                </c:pt>
                <c:pt idx="21">
                  <c:v>17.3</c:v>
                </c:pt>
                <c:pt idx="22">
                  <c:v>73.900000000000006</c:v>
                </c:pt>
                <c:pt idx="23">
                  <c:v>130.9</c:v>
                </c:pt>
                <c:pt idx="24">
                  <c:v>211.5</c:v>
                </c:pt>
                <c:pt idx="25">
                  <c:v>296.2</c:v>
                </c:pt>
                <c:pt idx="26">
                  <c:v>300.8</c:v>
                </c:pt>
                <c:pt idx="27">
                  <c:v>278.5</c:v>
                </c:pt>
                <c:pt idx="28">
                  <c:v>243.44</c:v>
                </c:pt>
                <c:pt idx="29">
                  <c:v>171.13</c:v>
                </c:pt>
                <c:pt idx="30">
                  <c:v>121.36999999999999</c:v>
                </c:pt>
                <c:pt idx="31">
                  <c:v>94.83</c:v>
                </c:pt>
                <c:pt idx="32">
                  <c:v>56.53</c:v>
                </c:pt>
                <c:pt idx="33">
                  <c:v>48.06</c:v>
                </c:pt>
                <c:pt idx="34">
                  <c:v>45.74</c:v>
                </c:pt>
                <c:pt idx="35">
                  <c:v>30.130000000000006</c:v>
                </c:pt>
                <c:pt idx="36">
                  <c:v>20.72</c:v>
                </c:pt>
                <c:pt idx="37">
                  <c:v>13.54</c:v>
                </c:pt>
                <c:pt idx="38">
                  <c:v>18.62</c:v>
                </c:pt>
              </c:numCache>
            </c:numRef>
          </c:val>
        </c:ser>
        <c:axId val="276063360"/>
        <c:axId val="276064896"/>
      </c:barChart>
      <c:catAx>
        <c:axId val="276063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6064896"/>
        <c:crosses val="autoZero"/>
        <c:auto val="1"/>
        <c:lblAlgn val="ctr"/>
        <c:lblOffset val="100"/>
        <c:tickLblSkip val="2"/>
        <c:tickMarkSkip val="1"/>
      </c:catAx>
      <c:valAx>
        <c:axId val="276064896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Показатель на 100 тыс.нас.
</a:t>
                </a:r>
              </a:p>
            </c:rich>
          </c:tx>
          <c:layout>
            <c:manualLayout>
              <c:xMode val="edge"/>
              <c:yMode val="edge"/>
              <c:x val="0"/>
              <c:y val="0.1762452107279694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6063360"/>
        <c:crosses val="autoZero"/>
        <c:crossBetween val="between"/>
      </c:valAx>
      <c:spPr>
        <a:solidFill>
          <a:srgbClr val="FFFFFF"/>
        </a:solidFill>
        <a:ln w="12700">
          <a:solidFill>
            <a:srgbClr val="33333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526315789473686"/>
          <c:y val="0.91954022988505746"/>
          <c:w val="0.79554655870445323"/>
          <c:h val="7.662835249042145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3726623042508754"/>
          <c:y val="2.4074530675609076E-2"/>
          <c:w val="0.82106714785651758"/>
          <c:h val="0.76168892466646765"/>
        </c:manualLayout>
      </c:layout>
      <c:barChart>
        <c:barDir val="col"/>
        <c:grouping val="clustered"/>
        <c:ser>
          <c:idx val="0"/>
          <c:order val="0"/>
          <c:cat>
            <c:numRef>
              <c:f>Лист1!$A$2:$A$16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14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15</c:v>
                </c:pt>
                <c:pt idx="10">
                  <c:v>7</c:v>
                </c:pt>
                <c:pt idx="11">
                  <c:v>9</c:v>
                </c:pt>
                <c:pt idx="12">
                  <c:v>12</c:v>
                </c:pt>
                <c:pt idx="13">
                  <c:v>8</c:v>
                </c:pt>
              </c:numCache>
            </c:numRef>
          </c:val>
        </c:ser>
        <c:axId val="276051072"/>
        <c:axId val="276052992"/>
      </c:barChart>
      <c:catAx>
        <c:axId val="27605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годы</a:t>
                </a:r>
              </a:p>
            </c:rich>
          </c:tx>
          <c:layout>
            <c:manualLayout>
              <c:xMode val="edge"/>
              <c:yMode val="edge"/>
              <c:x val="0.46469553805774277"/>
              <c:y val="0.87868037328667403"/>
            </c:manualLayout>
          </c:layout>
        </c:title>
        <c:numFmt formatCode="General" sourceLinked="1"/>
        <c:tickLblPos val="nextTo"/>
        <c:crossAx val="276052992"/>
        <c:crosses val="autoZero"/>
        <c:auto val="1"/>
        <c:lblAlgn val="ctr"/>
        <c:lblOffset val="100"/>
      </c:catAx>
      <c:valAx>
        <c:axId val="276052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200" b="1" baseline="0">
                    <a:latin typeface="Times New Roman" pitchFamily="18" charset="0"/>
                    <a:cs typeface="Times New Roman" pitchFamily="18" charset="0"/>
                  </a:rPr>
                  <a:t> ВИЧ-инфицированных</a:t>
                </a:r>
                <a:endParaRPr lang="ru-RU" sz="1200" b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27605107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464106844741296E-2"/>
          <c:y val="6.6878980891719744E-2"/>
          <c:w val="0.81969949916527585"/>
          <c:h val="0.70063694267515941"/>
        </c:manualLayout>
      </c:layout>
      <c:lineChart>
        <c:grouping val="standard"/>
        <c:ser>
          <c:idx val="2"/>
          <c:order val="0"/>
          <c:tx>
            <c:strRef>
              <c:f>Sheet1!$B$1</c:f>
              <c:strCache>
                <c:ptCount val="1"/>
                <c:pt idx="0">
                  <c:v>Могилев</c:v>
                </c:pt>
              </c:strCache>
            </c:strRef>
          </c:tx>
          <c:spPr>
            <a:ln w="38096">
              <a:solidFill>
                <a:srgbClr val="FF0000"/>
              </a:solidFill>
              <a:prstDash val="solid"/>
            </a:ln>
          </c:spPr>
          <c:marker>
            <c:symbol val="triangle"/>
            <c:size val="11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6694490818030061"/>
                  <c:y val="0.3184713375796179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0217028380634403"/>
                  <c:y val="0.17834394904458598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3906510851419034"/>
                  <c:y val="0.21656050955414019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726210350584312"/>
                  <c:y val="0.32165605095541411"/>
                </c:manualLayout>
              </c:layout>
              <c:dLblPos val="r"/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43.1</c:v>
                </c:pt>
                <c:pt idx="1">
                  <c:v>53.1</c:v>
                </c:pt>
                <c:pt idx="2">
                  <c:v>50.7</c:v>
                </c:pt>
                <c:pt idx="3">
                  <c:v>44.1</c:v>
                </c:pt>
                <c:pt idx="4">
                  <c:v>43.1</c:v>
                </c:pt>
                <c:pt idx="5">
                  <c:v>42.9</c:v>
                </c:pt>
              </c:numCache>
            </c:numRef>
          </c:val>
        </c:ser>
        <c:ser>
          <c:idx val="3"/>
          <c:order val="1"/>
          <c:tx>
            <c:strRef>
              <c:f>Sheet1!$C$1</c:f>
              <c:strCache>
                <c:ptCount val="1"/>
                <c:pt idx="0">
                  <c:v>Могилевская область</c:v>
                </c:pt>
              </c:strCache>
            </c:strRef>
          </c:tx>
          <c:spPr>
            <a:ln w="38096">
              <a:solidFill>
                <a:srgbClr val="00FF00"/>
              </a:solidFill>
              <a:prstDash val="solid"/>
            </a:ln>
          </c:spPr>
          <c:marker>
            <c:symbol val="x"/>
            <c:size val="11"/>
            <c:spPr>
              <a:noFill/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4"/>
              <c:layout>
                <c:manualLayout>
                  <c:xMode val="edge"/>
                  <c:yMode val="edge"/>
                  <c:x val="0.7111853088480804"/>
                  <c:y val="0.16878980891719744"/>
                </c:manualLayout>
              </c:layout>
              <c:dLblPos val="r"/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52.5</c:v>
                </c:pt>
                <c:pt idx="1">
                  <c:v>65.5</c:v>
                </c:pt>
                <c:pt idx="2">
                  <c:v>64.400000000000006</c:v>
                </c:pt>
                <c:pt idx="3">
                  <c:v>61.3</c:v>
                </c:pt>
                <c:pt idx="4">
                  <c:v>59.3</c:v>
                </c:pt>
                <c:pt idx="5">
                  <c:v>54.4</c:v>
                </c:pt>
              </c:numCache>
            </c:numRef>
          </c:val>
        </c:ser>
        <c:dLbls>
          <c:showVal val="1"/>
        </c:dLbls>
        <c:marker val="1"/>
        <c:axId val="276264064"/>
        <c:axId val="276265600"/>
      </c:lineChart>
      <c:catAx>
        <c:axId val="276264064"/>
        <c:scaling>
          <c:orientation val="minMax"/>
        </c:scaling>
        <c:axPos val="b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265600"/>
        <c:crosses val="autoZero"/>
        <c:auto val="1"/>
        <c:lblAlgn val="ctr"/>
        <c:lblOffset val="100"/>
        <c:tickLblSkip val="1"/>
        <c:tickMarkSkip val="1"/>
      </c:catAx>
      <c:valAx>
        <c:axId val="276265600"/>
        <c:scaling>
          <c:orientation val="minMax"/>
          <c:min val="0"/>
        </c:scaling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Показатель на 100 тыс.нас.
</a:t>
                </a:r>
              </a:p>
            </c:rich>
          </c:tx>
          <c:layout>
            <c:manualLayout>
              <c:xMode val="edge"/>
              <c:yMode val="edge"/>
              <c:x val="0"/>
              <c:y val="0.19426751592356684"/>
            </c:manualLayout>
          </c:layout>
          <c:spPr>
            <a:noFill/>
            <a:ln w="25397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264064"/>
        <c:crosses val="autoZero"/>
        <c:crossBetween val="between"/>
      </c:valAx>
      <c:spPr>
        <a:solidFill>
          <a:srgbClr val="FFFF99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347245409015025E-2"/>
          <c:y val="0.90445859872611456"/>
          <c:w val="0.76961602671118556"/>
          <c:h val="9.5541401273885385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CC00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330935251798559"/>
          <c:y val="7.3260073260073263E-2"/>
          <c:w val="0.86690647482014394"/>
          <c:h val="0.5641025641025638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мед.работники</c:v>
                </c:pt>
              </c:strCache>
            </c:strRef>
          </c:tx>
          <c:spPr>
            <a:ln w="38072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107</c:v>
                </c:pt>
                <c:pt idx="1">
                  <c:v>72.099999999999994</c:v>
                </c:pt>
                <c:pt idx="2">
                  <c:v>58.3</c:v>
                </c:pt>
                <c:pt idx="3">
                  <c:v>24.9</c:v>
                </c:pt>
                <c:pt idx="4">
                  <c:v>85.9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пищевики</c:v>
                </c:pt>
              </c:strCache>
            </c:strRef>
          </c:tx>
          <c:spPr>
            <a:ln w="38072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36.4</c:v>
                </c:pt>
                <c:pt idx="1">
                  <c:v>26.6</c:v>
                </c:pt>
                <c:pt idx="2">
                  <c:v>36.1</c:v>
                </c:pt>
                <c:pt idx="3">
                  <c:v>93.8</c:v>
                </c:pt>
                <c:pt idx="4">
                  <c:v>38.4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работники дет. и подр. учр.</c:v>
                </c:pt>
              </c:strCache>
            </c:strRef>
          </c:tx>
          <c:spPr>
            <a:ln w="38072">
              <a:solidFill>
                <a:srgbClr val="FFFF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54.2</c:v>
                </c:pt>
                <c:pt idx="1">
                  <c:v>54.2</c:v>
                </c:pt>
                <c:pt idx="2">
                  <c:v>0</c:v>
                </c:pt>
                <c:pt idx="3">
                  <c:v>42.5</c:v>
                </c:pt>
                <c:pt idx="4">
                  <c:v>8.5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работники сан.гиг.обсл.</c:v>
                </c:pt>
              </c:strCache>
            </c:strRef>
          </c:tx>
          <c:spPr>
            <a:ln w="38072">
              <a:solidFill>
                <a:srgbClr val="00FFFF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254.6</c:v>
                </c:pt>
                <c:pt idx="2">
                  <c:v>51.3</c:v>
                </c:pt>
                <c:pt idx="3">
                  <c:v>62.7</c:v>
                </c:pt>
                <c:pt idx="4">
                  <c:v>0</c:v>
                </c:pt>
              </c:numCache>
            </c:numRef>
          </c:val>
          <c:smooth val="1"/>
        </c:ser>
        <c:marker val="1"/>
        <c:axId val="276386176"/>
        <c:axId val="276388096"/>
      </c:lineChart>
      <c:catAx>
        <c:axId val="276386176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6388096"/>
        <c:crosses val="autoZero"/>
        <c:lblAlgn val="ctr"/>
        <c:lblOffset val="100"/>
        <c:tickLblSkip val="1"/>
        <c:tickMarkSkip val="1"/>
      </c:catAx>
      <c:valAx>
        <c:axId val="276388096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на 100 тыс. населения</a:t>
                </a:r>
              </a:p>
            </c:rich>
          </c:tx>
          <c:layout>
            <c:manualLayout>
              <c:xMode val="edge"/>
              <c:yMode val="edge"/>
              <c:x val="2.3381294964028781E-2"/>
              <c:y val="0.11355311355311358"/>
            </c:manualLayout>
          </c:layout>
          <c:spPr>
            <a:noFill/>
            <a:ln w="25381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6386176"/>
        <c:crosses val="autoZero"/>
        <c:crossBetween val="between"/>
      </c:valAx>
      <c:spPr>
        <a:solidFill>
          <a:srgbClr val="FFFFCC"/>
        </a:solidFill>
        <a:ln w="1269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208633093525186"/>
          <c:y val="0.76923076923076927"/>
          <c:w val="0.8111510791366906"/>
          <c:h val="0.20512820512820518"/>
        </c:manualLayout>
      </c:layout>
      <c:spPr>
        <a:solidFill>
          <a:srgbClr val="CC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CC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1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8662207357859577E-2"/>
          <c:y val="1.4598540145985401E-2"/>
          <c:w val="0.87959866220735783"/>
          <c:h val="0.75182481751824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г.Могилёв</c:v>
                </c:pt>
              </c:strCache>
            </c:strRef>
          </c:tx>
          <c:spPr>
            <a:pattFill prst="wdDnDiag">
              <a:fgClr>
                <a:srgbClr val="9999FF"/>
              </a:fgClr>
              <a:bgClr>
                <a:srgbClr val="FFFFFF"/>
              </a:bgClr>
            </a:pattFill>
            <a:ln w="8508">
              <a:solidFill>
                <a:srgbClr val="000000"/>
              </a:solidFill>
              <a:prstDash val="solid"/>
            </a:ln>
          </c:spPr>
          <c:cat>
            <c:numRef>
              <c:f>Лист1!$A$2:$A$17</c:f>
              <c:numCache>
                <c:formatCode>General</c:formatCode>
                <c:ptCount val="1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435.6</c:v>
                </c:pt>
                <c:pt idx="1">
                  <c:v>401.6</c:v>
                </c:pt>
                <c:pt idx="2">
                  <c:v>317</c:v>
                </c:pt>
                <c:pt idx="3">
                  <c:v>225</c:v>
                </c:pt>
                <c:pt idx="4">
                  <c:v>236.6</c:v>
                </c:pt>
                <c:pt idx="5">
                  <c:v>300.39999999999986</c:v>
                </c:pt>
                <c:pt idx="6">
                  <c:v>284.39999999999986</c:v>
                </c:pt>
                <c:pt idx="7">
                  <c:v>275</c:v>
                </c:pt>
                <c:pt idx="8">
                  <c:v>255</c:v>
                </c:pt>
                <c:pt idx="9">
                  <c:v>256</c:v>
                </c:pt>
                <c:pt idx="10">
                  <c:v>268</c:v>
                </c:pt>
                <c:pt idx="11">
                  <c:v>287.32</c:v>
                </c:pt>
                <c:pt idx="12">
                  <c:v>278.55</c:v>
                </c:pt>
                <c:pt idx="13">
                  <c:v>271.20999999999987</c:v>
                </c:pt>
                <c:pt idx="14">
                  <c:v>170.9</c:v>
                </c:pt>
                <c:pt idx="15">
                  <c:v>149.69999999999999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Могилевская область </c:v>
                </c:pt>
              </c:strCache>
            </c:strRef>
          </c:tx>
          <c:spPr>
            <a:solidFill>
              <a:srgbClr val="993366"/>
            </a:solidFill>
            <a:ln w="8508">
              <a:solidFill>
                <a:srgbClr val="000000"/>
              </a:solidFill>
              <a:prstDash val="solid"/>
            </a:ln>
          </c:spPr>
          <c:cat>
            <c:numRef>
              <c:f>Лист1!$A$2:$A$17</c:f>
              <c:numCache>
                <c:formatCode>General</c:formatCode>
                <c:ptCount val="1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250</c:v>
                </c:pt>
                <c:pt idx="1">
                  <c:v>250.9</c:v>
                </c:pt>
                <c:pt idx="2">
                  <c:v>232.9</c:v>
                </c:pt>
                <c:pt idx="3">
                  <c:v>203.5</c:v>
                </c:pt>
                <c:pt idx="4">
                  <c:v>205</c:v>
                </c:pt>
                <c:pt idx="5">
                  <c:v>202.2</c:v>
                </c:pt>
                <c:pt idx="6">
                  <c:v>166.6</c:v>
                </c:pt>
                <c:pt idx="7">
                  <c:v>158.5</c:v>
                </c:pt>
                <c:pt idx="8">
                  <c:v>131.97</c:v>
                </c:pt>
                <c:pt idx="9">
                  <c:v>126.2</c:v>
                </c:pt>
                <c:pt idx="10">
                  <c:v>135.4</c:v>
                </c:pt>
                <c:pt idx="11">
                  <c:v>148.86000000000001</c:v>
                </c:pt>
                <c:pt idx="12">
                  <c:v>147.37</c:v>
                </c:pt>
                <c:pt idx="13">
                  <c:v>145.72999999999999</c:v>
                </c:pt>
                <c:pt idx="14">
                  <c:v>114.71000000000002</c:v>
                </c:pt>
                <c:pt idx="15">
                  <c:v>103.89</c:v>
                </c:pt>
              </c:numCache>
            </c:numRef>
          </c:val>
          <c:shape val="cylinder"/>
        </c:ser>
        <c:shape val="cone"/>
        <c:axId val="276659200"/>
        <c:axId val="276673280"/>
        <c:axId val="0"/>
      </c:bar3DChart>
      <c:catAx>
        <c:axId val="276659200"/>
        <c:scaling>
          <c:orientation val="minMax"/>
        </c:scaling>
        <c:axPos val="b"/>
        <c:numFmt formatCode="General" sourceLinked="1"/>
        <c:tickLblPos val="low"/>
        <c:spPr>
          <a:ln w="6381">
            <a:noFill/>
          </a:ln>
        </c:spPr>
        <c:txPr>
          <a:bodyPr rot="0" vert="horz"/>
          <a:lstStyle/>
          <a:p>
            <a:pPr>
              <a:defRPr sz="56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673280"/>
        <c:crosses val="autoZero"/>
        <c:auto val="1"/>
        <c:lblAlgn val="ctr"/>
        <c:lblOffset val="100"/>
        <c:tickLblSkip val="1"/>
        <c:tickMarkSkip val="1"/>
      </c:catAx>
      <c:valAx>
        <c:axId val="276673280"/>
        <c:scaling>
          <c:orientation val="minMax"/>
        </c:scaling>
        <c:axPos val="l"/>
        <c:majorGridlines>
          <c:spPr>
            <a:ln w="212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3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Показатель на 100 тыс. </a:t>
                </a:r>
              </a:p>
            </c:rich>
          </c:tx>
          <c:layout>
            <c:manualLayout>
              <c:xMode val="edge"/>
              <c:yMode val="edge"/>
              <c:x val="5.5183946488294305E-2"/>
              <c:y val="0.16788321167883211"/>
            </c:manualLayout>
          </c:layout>
          <c:spPr>
            <a:noFill/>
            <a:ln w="17015">
              <a:noFill/>
            </a:ln>
          </c:spPr>
        </c:title>
        <c:numFmt formatCode="General" sourceLinked="1"/>
        <c:tickLblPos val="nextTo"/>
        <c:spPr>
          <a:ln w="21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3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659200"/>
        <c:crosses val="autoZero"/>
        <c:crossBetween val="between"/>
      </c:valAx>
      <c:spPr>
        <a:noFill/>
        <a:ln w="17015">
          <a:noFill/>
        </a:ln>
      </c:spPr>
    </c:plotArea>
    <c:legend>
      <c:legendPos val="b"/>
      <c:layout>
        <c:manualLayout>
          <c:xMode val="edge"/>
          <c:yMode val="edge"/>
          <c:x val="0.21906354515050175"/>
          <c:y val="0.89051094890510929"/>
          <c:w val="0.56856187290969895"/>
          <c:h val="8.0291970802919693E-2"/>
        </c:manualLayout>
      </c:layout>
      <c:spPr>
        <a:solidFill>
          <a:srgbClr val="FFFFFF"/>
        </a:solidFill>
        <a:ln w="17015">
          <a:noFill/>
        </a:ln>
      </c:spPr>
      <c:txPr>
        <a:bodyPr/>
        <a:lstStyle/>
        <a:p>
          <a:pPr>
            <a:defRPr sz="67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2127">
      <a:solidFill>
        <a:srgbClr val="000000"/>
      </a:solidFill>
      <a:prstDash val="solid"/>
    </a:ln>
  </c:spPr>
  <c:txPr>
    <a:bodyPr/>
    <a:lstStyle/>
    <a:p>
      <a:pPr>
        <a:defRPr sz="3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2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096774193548392"/>
          <c:y val="0.20792079207920791"/>
          <c:w val="0.81612903225806499"/>
          <c:h val="0.34653465346534651"/>
        </c:manualLayout>
      </c:layout>
      <c:bar3D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0-6 орг.</c:v>
                </c:pt>
              </c:strCache>
            </c:strRef>
          </c:tx>
          <c:spPr>
            <a:pattFill prst="dkHorz">
              <a:fgClr>
                <a:srgbClr val="FF8080"/>
              </a:fgClr>
              <a:bgClr>
                <a:srgbClr val="FFFFFF"/>
              </a:bgClr>
            </a:pattFill>
            <a:ln w="10832">
              <a:solidFill>
                <a:srgbClr val="000000"/>
              </a:solidFill>
              <a:prstDash val="solid"/>
            </a:ln>
          </c:spPr>
          <c:cat>
            <c:numRef>
              <c:f>Лист3!$B$2:$K$2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Лист3!$B$3:$K$3</c:f>
              <c:numCache>
                <c:formatCode>General</c:formatCode>
                <c:ptCount val="10"/>
                <c:pt idx="0">
                  <c:v>974.1</c:v>
                </c:pt>
                <c:pt idx="1">
                  <c:v>822.3</c:v>
                </c:pt>
                <c:pt idx="2">
                  <c:v>744</c:v>
                </c:pt>
                <c:pt idx="3">
                  <c:v>629</c:v>
                </c:pt>
                <c:pt idx="4">
                  <c:v>657.7</c:v>
                </c:pt>
                <c:pt idx="5">
                  <c:v>953.11</c:v>
                </c:pt>
                <c:pt idx="6">
                  <c:v>722.4</c:v>
                </c:pt>
                <c:pt idx="7">
                  <c:v>594.29999999999995</c:v>
                </c:pt>
                <c:pt idx="8">
                  <c:v>416</c:v>
                </c:pt>
                <c:pt idx="9">
                  <c:v>473.05</c:v>
                </c:pt>
              </c:numCache>
            </c:numRef>
          </c:val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0-6 н/о</c:v>
                </c:pt>
              </c:strCache>
            </c:strRef>
          </c:tx>
          <c:spPr>
            <a:solidFill>
              <a:srgbClr val="660066"/>
            </a:solidFill>
            <a:ln w="10832">
              <a:solidFill>
                <a:srgbClr val="000000"/>
              </a:solidFill>
              <a:prstDash val="solid"/>
            </a:ln>
          </c:spPr>
          <c:cat>
            <c:numRef>
              <c:f>Лист3!$B$2:$K$2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Лист3!$B$4:$K$4</c:f>
              <c:numCache>
                <c:formatCode>General</c:formatCode>
                <c:ptCount val="10"/>
                <c:pt idx="0">
                  <c:v>356.4</c:v>
                </c:pt>
                <c:pt idx="1">
                  <c:v>367.9</c:v>
                </c:pt>
                <c:pt idx="2">
                  <c:v>579.70000000000005</c:v>
                </c:pt>
                <c:pt idx="3">
                  <c:v>681.7</c:v>
                </c:pt>
                <c:pt idx="4">
                  <c:v>695.2</c:v>
                </c:pt>
                <c:pt idx="5">
                  <c:v>802.14</c:v>
                </c:pt>
                <c:pt idx="6">
                  <c:v>650.20000000000005</c:v>
                </c:pt>
                <c:pt idx="7">
                  <c:v>885.3</c:v>
                </c:pt>
                <c:pt idx="8">
                  <c:v>347.8</c:v>
                </c:pt>
                <c:pt idx="9">
                  <c:v>389.75</c:v>
                </c:pt>
              </c:numCache>
            </c:numRef>
          </c:val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школьники</c:v>
                </c:pt>
              </c:strCache>
            </c:strRef>
          </c:tx>
          <c:spPr>
            <a:solidFill>
              <a:srgbClr val="00FF00"/>
            </a:solidFill>
            <a:ln w="10832">
              <a:solidFill>
                <a:srgbClr val="000000"/>
              </a:solidFill>
              <a:prstDash val="solid"/>
            </a:ln>
          </c:spPr>
          <c:cat>
            <c:numRef>
              <c:f>Лист3!$B$2:$K$2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Лист3!$B$5:$K$5</c:f>
              <c:numCache>
                <c:formatCode>General</c:formatCode>
                <c:ptCount val="10"/>
                <c:pt idx="0">
                  <c:v>626.1</c:v>
                </c:pt>
                <c:pt idx="1">
                  <c:v>597.70000000000005</c:v>
                </c:pt>
                <c:pt idx="2">
                  <c:v>545.9</c:v>
                </c:pt>
                <c:pt idx="3">
                  <c:v>538.5</c:v>
                </c:pt>
                <c:pt idx="4">
                  <c:v>684.5</c:v>
                </c:pt>
                <c:pt idx="5">
                  <c:v>665.9</c:v>
                </c:pt>
                <c:pt idx="6">
                  <c:v>514.20000000000005</c:v>
                </c:pt>
                <c:pt idx="7">
                  <c:v>481.9</c:v>
                </c:pt>
                <c:pt idx="8">
                  <c:v>371.4</c:v>
                </c:pt>
                <c:pt idx="9">
                  <c:v>355</c:v>
                </c:pt>
              </c:numCache>
            </c:numRef>
          </c:val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СПТУ, техникумы</c:v>
                </c:pt>
              </c:strCache>
            </c:strRef>
          </c:tx>
          <c:spPr>
            <a:pattFill prst="wdUpDiag">
              <a:fgClr>
                <a:srgbClr val="9999FF"/>
              </a:fgClr>
              <a:bgClr>
                <a:srgbClr val="FFFFFF"/>
              </a:bgClr>
            </a:pattFill>
            <a:ln w="10832">
              <a:solidFill>
                <a:srgbClr val="000000"/>
              </a:solidFill>
              <a:prstDash val="solid"/>
            </a:ln>
          </c:spPr>
          <c:cat>
            <c:numRef>
              <c:f>Лист3!$B$2:$K$2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Лист3!$B$6:$K$6</c:f>
              <c:numCache>
                <c:formatCode>General</c:formatCode>
                <c:ptCount val="10"/>
                <c:pt idx="0">
                  <c:v>958.8</c:v>
                </c:pt>
                <c:pt idx="1">
                  <c:v>1094.5</c:v>
                </c:pt>
                <c:pt idx="2">
                  <c:v>1092.2</c:v>
                </c:pt>
                <c:pt idx="3">
                  <c:v>811.6</c:v>
                </c:pt>
                <c:pt idx="4">
                  <c:v>987.2</c:v>
                </c:pt>
                <c:pt idx="5">
                  <c:v>1067.5999999999999</c:v>
                </c:pt>
                <c:pt idx="6">
                  <c:v>1321.2</c:v>
                </c:pt>
                <c:pt idx="7">
                  <c:v>1293.2</c:v>
                </c:pt>
                <c:pt idx="8">
                  <c:v>1284</c:v>
                </c:pt>
                <c:pt idx="9">
                  <c:v>731</c:v>
                </c:pt>
              </c:numCache>
            </c:numRef>
          </c:val>
        </c:ser>
        <c:ser>
          <c:idx val="4"/>
          <c:order val="4"/>
          <c:tx>
            <c:strRef>
              <c:f>Лист3!$A$7</c:f>
              <c:strCache>
                <c:ptCount val="1"/>
                <c:pt idx="0">
                  <c:v>ВУЗы</c:v>
                </c:pt>
              </c:strCache>
            </c:strRef>
          </c:tx>
          <c:spPr>
            <a:pattFill prst="dkVert">
              <a:fgClr>
                <a:srgbClr val="3366FF"/>
              </a:fgClr>
              <a:bgClr>
                <a:srgbClr val="FFFFFF"/>
              </a:bgClr>
            </a:pattFill>
            <a:ln w="10832">
              <a:solidFill>
                <a:srgbClr val="000000"/>
              </a:solidFill>
              <a:prstDash val="solid"/>
            </a:ln>
          </c:spPr>
          <c:cat>
            <c:numRef>
              <c:f>Лист3!$B$2:$K$2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Лист3!$B$7:$K$7</c:f>
              <c:numCache>
                <c:formatCode>General</c:formatCode>
                <c:ptCount val="10"/>
                <c:pt idx="0">
                  <c:v>390.1</c:v>
                </c:pt>
                <c:pt idx="1">
                  <c:v>416.2</c:v>
                </c:pt>
                <c:pt idx="2">
                  <c:v>505.5</c:v>
                </c:pt>
                <c:pt idx="3">
                  <c:v>512.6</c:v>
                </c:pt>
                <c:pt idx="4">
                  <c:v>466.4</c:v>
                </c:pt>
                <c:pt idx="5">
                  <c:v>715.5</c:v>
                </c:pt>
                <c:pt idx="6">
                  <c:v>683.22</c:v>
                </c:pt>
                <c:pt idx="7">
                  <c:v>557.5</c:v>
                </c:pt>
                <c:pt idx="8">
                  <c:v>307.10000000000002</c:v>
                </c:pt>
                <c:pt idx="9">
                  <c:v>355</c:v>
                </c:pt>
              </c:numCache>
            </c:numRef>
          </c:val>
        </c:ser>
        <c:shape val="cylinder"/>
        <c:axId val="276733952"/>
        <c:axId val="276735488"/>
        <c:axId val="0"/>
      </c:bar3DChart>
      <c:catAx>
        <c:axId val="276733952"/>
        <c:scaling>
          <c:orientation val="minMax"/>
        </c:scaling>
        <c:axPos val="b"/>
        <c:numFmt formatCode="General" sourceLinked="1"/>
        <c:tickLblPos val="low"/>
        <c:spPr>
          <a:ln w="27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735488"/>
        <c:crosses val="autoZero"/>
        <c:auto val="1"/>
        <c:lblAlgn val="ctr"/>
        <c:lblOffset val="100"/>
        <c:tickLblSkip val="1"/>
        <c:tickMarkSkip val="1"/>
      </c:catAx>
      <c:valAx>
        <c:axId val="276735488"/>
        <c:scaling>
          <c:orientation val="minMax"/>
        </c:scaling>
        <c:axPos val="l"/>
        <c:majorGridlines>
          <c:spPr>
            <a:ln w="270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2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Показатель на 100 тыс.</a:t>
                </a:r>
              </a:p>
            </c:rich>
          </c:tx>
          <c:layout>
            <c:manualLayout>
              <c:xMode val="edge"/>
              <c:yMode val="edge"/>
              <c:x val="9.2672383676916228E-2"/>
              <c:y val="0.26143785705112521"/>
            </c:manualLayout>
          </c:layout>
          <c:spPr>
            <a:noFill/>
            <a:ln w="21663">
              <a:noFill/>
            </a:ln>
          </c:spPr>
        </c:title>
        <c:numFmt formatCode="General" sourceLinked="1"/>
        <c:tickLblPos val="nextTo"/>
        <c:spPr>
          <a:ln w="27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733952"/>
        <c:crosses val="autoZero"/>
        <c:crossBetween val="between"/>
      </c:valAx>
      <c:spPr>
        <a:noFill/>
        <a:ln w="21663">
          <a:noFill/>
        </a:ln>
      </c:spPr>
    </c:plotArea>
    <c:legend>
      <c:legendPos val="r"/>
      <c:spPr>
        <a:solidFill>
          <a:srgbClr val="FFFFFF"/>
        </a:solidFill>
        <a:ln w="21663">
          <a:noFill/>
        </a:ln>
      </c:spPr>
      <c:txPr>
        <a:bodyPr/>
        <a:lstStyle/>
        <a:p>
          <a:pPr>
            <a:defRPr sz="6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1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484076433121E-2"/>
          <c:y val="3.4615384615384617E-2"/>
          <c:w val="0.91082802547770703"/>
          <c:h val="0.72307692307692306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РБ </c:v>
                </c:pt>
              </c:strCache>
            </c:strRef>
          </c:tx>
          <c:spPr>
            <a:solidFill>
              <a:srgbClr val="FF6600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28835</c:v>
                </c:pt>
                <c:pt idx="1">
                  <c:v>28073</c:v>
                </c:pt>
                <c:pt idx="2">
                  <c:v>30094</c:v>
                </c:pt>
                <c:pt idx="3">
                  <c:v>28679.74</c:v>
                </c:pt>
                <c:pt idx="4">
                  <c:v>27708.32</c:v>
                </c:pt>
                <c:pt idx="5">
                  <c:v>31720.574199999999</c:v>
                </c:pt>
                <c:pt idx="6">
                  <c:v>30828.01</c:v>
                </c:pt>
                <c:pt idx="7">
                  <c:v>31498.55</c:v>
                </c:pt>
                <c:pt idx="8">
                  <c:v>30251.980000000007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г. Могилев  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43161</c:v>
                </c:pt>
                <c:pt idx="1">
                  <c:v>41018</c:v>
                </c:pt>
                <c:pt idx="2">
                  <c:v>41186</c:v>
                </c:pt>
                <c:pt idx="3">
                  <c:v>38921.599999999999</c:v>
                </c:pt>
                <c:pt idx="4">
                  <c:v>38514.699999999997</c:v>
                </c:pt>
                <c:pt idx="5">
                  <c:v>42823.5</c:v>
                </c:pt>
                <c:pt idx="6">
                  <c:v>39030.26</c:v>
                </c:pt>
                <c:pt idx="7">
                  <c:v>41278.6</c:v>
                </c:pt>
                <c:pt idx="8">
                  <c:v>33879.42</c:v>
                </c:pt>
              </c:numCache>
            </c:numRef>
          </c:val>
        </c:ser>
        <c:shape val="box"/>
        <c:axId val="251292288"/>
        <c:axId val="251429248"/>
        <c:axId val="0"/>
      </c:bar3DChart>
      <c:catAx>
        <c:axId val="25129228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1429248"/>
        <c:crosses val="autoZero"/>
        <c:lblAlgn val="ctr"/>
        <c:lblOffset val="100"/>
        <c:tickLblSkip val="1"/>
        <c:tickMarkSkip val="1"/>
      </c:catAx>
      <c:valAx>
        <c:axId val="251429248"/>
        <c:scaling>
          <c:orientation val="minMax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1292288"/>
        <c:crosses val="autoZero"/>
        <c:crossBetween val="between"/>
      </c:valAx>
      <c:spPr>
        <a:noFill/>
        <a:ln w="25380">
          <a:noFill/>
        </a:ln>
      </c:spPr>
    </c:plotArea>
    <c:legend>
      <c:legendPos val="b"/>
      <c:layout>
        <c:manualLayout>
          <c:xMode val="edge"/>
          <c:yMode val="edge"/>
          <c:x val="0.39331210191082838"/>
          <c:y val="0.89615384615384641"/>
          <c:w val="0.21178343949044601"/>
          <c:h val="9.2307692307692368E-2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головной </c:v>
                </c:pt>
              </c:strCache>
            </c:strRef>
          </c:tx>
          <c:spPr>
            <a:solidFill>
              <a:srgbClr val="9999FF"/>
            </a:solidFill>
            <a:ln w="16146">
              <a:solidFill>
                <a:srgbClr val="000000"/>
              </a:solidFill>
              <a:prstDash val="solid"/>
            </a:ln>
          </c:spPr>
          <c:cat>
            <c:numRef>
              <c:f>Лист1!$B$1:$G$1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950</c:v>
                </c:pt>
                <c:pt idx="1">
                  <c:v>870</c:v>
                </c:pt>
                <c:pt idx="2">
                  <c:v>764</c:v>
                </c:pt>
                <c:pt idx="3">
                  <c:v>711</c:v>
                </c:pt>
                <c:pt idx="4">
                  <c:v>740</c:v>
                </c:pt>
                <c:pt idx="5">
                  <c:v>530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платяной</c:v>
                </c:pt>
              </c:strCache>
            </c:strRef>
          </c:tx>
          <c:spPr>
            <a:solidFill>
              <a:srgbClr val="993366"/>
            </a:solidFill>
            <a:ln w="16146">
              <a:solidFill>
                <a:srgbClr val="000000"/>
              </a:solidFill>
              <a:prstDash val="solid"/>
            </a:ln>
          </c:spPr>
          <c:cat>
            <c:numRef>
              <c:f>Лист1!$B$1:$G$1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243</c:v>
                </c:pt>
                <c:pt idx="1">
                  <c:v>271</c:v>
                </c:pt>
                <c:pt idx="2">
                  <c:v>276</c:v>
                </c:pt>
                <c:pt idx="3">
                  <c:v>265</c:v>
                </c:pt>
                <c:pt idx="4">
                  <c:v>278</c:v>
                </c:pt>
                <c:pt idx="5">
                  <c:v>269</c:v>
                </c:pt>
              </c:numCache>
            </c:numRef>
          </c:val>
        </c:ser>
        <c:shape val="box"/>
        <c:axId val="276752640"/>
        <c:axId val="276824064"/>
        <c:axId val="0"/>
      </c:bar3DChart>
      <c:catAx>
        <c:axId val="276752640"/>
        <c:scaling>
          <c:orientation val="minMax"/>
        </c:scaling>
        <c:axPos val="b"/>
        <c:numFmt formatCode="General" sourceLinked="1"/>
        <c:tickLblPos val="low"/>
        <c:spPr>
          <a:ln w="4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824064"/>
        <c:crosses val="autoZero"/>
        <c:auto val="1"/>
        <c:lblAlgn val="ctr"/>
        <c:lblOffset val="100"/>
        <c:tickLblSkip val="1"/>
        <c:tickMarkSkip val="1"/>
      </c:catAx>
      <c:valAx>
        <c:axId val="276824064"/>
        <c:scaling>
          <c:orientation val="minMax"/>
        </c:scaling>
        <c:axPos val="l"/>
        <c:majorGridlines>
          <c:spPr>
            <a:ln w="403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Удельный  вес</a:t>
                </a:r>
              </a:p>
            </c:rich>
          </c:tx>
          <c:layout>
            <c:manualLayout>
              <c:xMode val="edge"/>
              <c:yMode val="edge"/>
              <c:x val="6.6350710900473939E-2"/>
              <c:y val="0.24719101123595505"/>
            </c:manualLayout>
          </c:layout>
          <c:spPr>
            <a:noFill/>
            <a:ln w="32293">
              <a:noFill/>
            </a:ln>
          </c:spPr>
        </c:title>
        <c:numFmt formatCode="0%" sourceLinked="1"/>
        <c:tickLblPos val="nextTo"/>
        <c:spPr>
          <a:ln w="4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752640"/>
        <c:crosses val="autoZero"/>
        <c:crossBetween val="between"/>
      </c:valAx>
      <c:spPr>
        <a:noFill/>
        <a:ln w="32293">
          <a:noFill/>
        </a:ln>
      </c:spPr>
    </c:plotArea>
    <c:legend>
      <c:legendPos val="r"/>
      <c:spPr>
        <a:solidFill>
          <a:srgbClr val="FFFFFF"/>
        </a:solidFill>
        <a:ln w="32293">
          <a:noFill/>
        </a:ln>
      </c:spPr>
      <c:txPr>
        <a:bodyPr/>
        <a:lstStyle/>
        <a:p>
          <a:pPr>
            <a:defRPr sz="81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1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2879256965944235E-2"/>
          <c:y val="7.9310344827586268E-2"/>
          <c:w val="0.88854489164086692"/>
          <c:h val="0.6241379310344830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2007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7">
              <a:solidFill>
                <a:srgbClr val="000000"/>
              </a:solidFill>
              <a:prstDash val="solid"/>
            </a:ln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контакт с бешенным животным</c:v>
                </c:pt>
                <c:pt idx="1">
                  <c:v>отказ от прививок</c:v>
                </c:pt>
                <c:pt idx="2">
                  <c:v>прерванный курс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39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7">
              <a:solidFill>
                <a:srgbClr val="000000"/>
              </a:solidFill>
              <a:prstDash val="solid"/>
            </a:ln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контакт с бешенным животным</c:v>
                </c:pt>
                <c:pt idx="1">
                  <c:v>отказ от прививок</c:v>
                </c:pt>
                <c:pt idx="2">
                  <c:v>прерванный курс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29</c:v>
                </c:pt>
                <c:pt idx="2">
                  <c:v>68</c:v>
                </c:pt>
              </c:numCache>
            </c:numRef>
          </c:val>
        </c:ser>
        <c:dLbls>
          <c:showVal val="1"/>
        </c:dLbls>
        <c:axId val="277116032"/>
        <c:axId val="277117568"/>
      </c:barChart>
      <c:catAx>
        <c:axId val="277116032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7117568"/>
        <c:crosses val="autoZero"/>
        <c:auto val="1"/>
        <c:lblAlgn val="ctr"/>
        <c:lblOffset val="100"/>
        <c:tickLblSkip val="1"/>
        <c:tickMarkSkip val="1"/>
      </c:catAx>
      <c:valAx>
        <c:axId val="27711756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Абс.число</a:t>
                </a:r>
              </a:p>
            </c:rich>
          </c:tx>
          <c:layout>
            <c:manualLayout>
              <c:xMode val="edge"/>
              <c:yMode val="edge"/>
              <c:x val="2.0123839009287926E-2"/>
              <c:y val="0.28620689655172415"/>
            </c:manualLayout>
          </c:layout>
          <c:spPr>
            <a:noFill/>
            <a:ln w="25374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7116032"/>
        <c:crosses val="autoZero"/>
        <c:crossBetween val="between"/>
      </c:valAx>
      <c:spPr>
        <a:solidFill>
          <a:srgbClr val="FFFFFF"/>
        </a:solidFill>
        <a:ln w="12687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000080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469255663430425E-2"/>
          <c:y val="1.8691588785046735E-2"/>
          <c:w val="0.87540453074433655"/>
          <c:h val="0.79750778816199341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Лист2!$B$1:$B$2</c:f>
              <c:strCache>
                <c:ptCount val="1"/>
                <c:pt idx="0">
                  <c:v>аскаридоз г.Могилев</c:v>
                </c:pt>
              </c:strCache>
            </c:strRef>
          </c:tx>
          <c:spPr>
            <a:solidFill>
              <a:srgbClr val="0000FF"/>
            </a:solidFill>
            <a:ln w="8819">
              <a:solidFill>
                <a:srgbClr val="000000"/>
              </a:solidFill>
              <a:prstDash val="solid"/>
            </a:ln>
          </c:spPr>
          <c:cat>
            <c:numRef>
              <c:f>Лист2!$A$3:$A$18</c:f>
              <c:numCache>
                <c:formatCode>General</c:formatCode>
                <c:ptCount val="1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</c:numCache>
            </c:numRef>
          </c:cat>
          <c:val>
            <c:numRef>
              <c:f>Лист2!$B$3:$B$18</c:f>
              <c:numCache>
                <c:formatCode>General</c:formatCode>
                <c:ptCount val="16"/>
                <c:pt idx="0">
                  <c:v>122.5</c:v>
                </c:pt>
                <c:pt idx="1">
                  <c:v>117</c:v>
                </c:pt>
                <c:pt idx="2">
                  <c:v>108.9</c:v>
                </c:pt>
                <c:pt idx="3">
                  <c:v>108.5</c:v>
                </c:pt>
                <c:pt idx="4">
                  <c:v>163.16</c:v>
                </c:pt>
                <c:pt idx="5">
                  <c:v>162.9</c:v>
                </c:pt>
                <c:pt idx="6">
                  <c:v>73.53</c:v>
                </c:pt>
                <c:pt idx="7">
                  <c:v>72.260000000000005</c:v>
                </c:pt>
                <c:pt idx="8">
                  <c:v>59.89</c:v>
                </c:pt>
                <c:pt idx="9">
                  <c:v>58.5</c:v>
                </c:pt>
                <c:pt idx="10">
                  <c:v>41.2</c:v>
                </c:pt>
                <c:pt idx="11">
                  <c:v>32.9</c:v>
                </c:pt>
                <c:pt idx="12">
                  <c:v>24.1</c:v>
                </c:pt>
                <c:pt idx="13">
                  <c:v>18.54</c:v>
                </c:pt>
                <c:pt idx="14">
                  <c:v>13</c:v>
                </c:pt>
                <c:pt idx="15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аскаридоз Могилевская область </c:v>
                </c:pt>
              </c:strCache>
            </c:strRef>
          </c:tx>
          <c:spPr>
            <a:pattFill prst="wdUpDiag">
              <a:fgClr>
                <a:srgbClr val="00CCFF"/>
              </a:fgClr>
              <a:bgClr>
                <a:srgbClr val="FFFFFF"/>
              </a:bgClr>
            </a:pattFill>
            <a:ln w="8819">
              <a:solidFill>
                <a:srgbClr val="000000"/>
              </a:solidFill>
              <a:prstDash val="solid"/>
            </a:ln>
          </c:spPr>
          <c:cat>
            <c:numRef>
              <c:f>Лист2!$A$3:$A$18</c:f>
              <c:numCache>
                <c:formatCode>General</c:formatCode>
                <c:ptCount val="1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</c:numCache>
            </c:numRef>
          </c:cat>
          <c:val>
            <c:numRef>
              <c:f>Лист2!$C$3:$C$18</c:f>
              <c:numCache>
                <c:formatCode>General</c:formatCode>
                <c:ptCount val="16"/>
                <c:pt idx="0">
                  <c:v>275.39999999999986</c:v>
                </c:pt>
                <c:pt idx="1">
                  <c:v>291.10000000000002</c:v>
                </c:pt>
                <c:pt idx="2">
                  <c:v>249.4</c:v>
                </c:pt>
                <c:pt idx="3">
                  <c:v>239.1</c:v>
                </c:pt>
                <c:pt idx="4">
                  <c:v>248.3</c:v>
                </c:pt>
                <c:pt idx="5">
                  <c:v>278.10000000000002</c:v>
                </c:pt>
                <c:pt idx="6">
                  <c:v>188.5</c:v>
                </c:pt>
                <c:pt idx="7">
                  <c:v>138.69999999999999</c:v>
                </c:pt>
                <c:pt idx="8">
                  <c:v>115.1</c:v>
                </c:pt>
                <c:pt idx="9">
                  <c:v>91</c:v>
                </c:pt>
                <c:pt idx="10">
                  <c:v>74.3</c:v>
                </c:pt>
                <c:pt idx="11">
                  <c:v>69.290000000000006</c:v>
                </c:pt>
                <c:pt idx="12">
                  <c:v>67.36</c:v>
                </c:pt>
                <c:pt idx="13">
                  <c:v>58.78</c:v>
                </c:pt>
                <c:pt idx="14">
                  <c:v>52.34</c:v>
                </c:pt>
                <c:pt idx="15">
                  <c:v>41.8</c:v>
                </c:pt>
              </c:numCache>
            </c:numRef>
          </c:val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энтеробиоз г.Могилев</c:v>
                </c:pt>
              </c:strCache>
            </c:strRef>
          </c:tx>
          <c:spPr>
            <a:solidFill>
              <a:srgbClr val="008000"/>
            </a:solidFill>
            <a:ln w="8819">
              <a:solidFill>
                <a:srgbClr val="000000"/>
              </a:solidFill>
              <a:prstDash val="solid"/>
            </a:ln>
          </c:spPr>
          <c:cat>
            <c:numRef>
              <c:f>Лист2!$A$3:$A$18</c:f>
              <c:numCache>
                <c:formatCode>General</c:formatCode>
                <c:ptCount val="1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</c:numCache>
            </c:numRef>
          </c:cat>
          <c:val>
            <c:numRef>
              <c:f>Лист2!$D$3:$D$18</c:f>
              <c:numCache>
                <c:formatCode>General</c:formatCode>
                <c:ptCount val="16"/>
                <c:pt idx="0">
                  <c:v>529.9</c:v>
                </c:pt>
                <c:pt idx="1">
                  <c:v>537.9</c:v>
                </c:pt>
                <c:pt idx="2">
                  <c:v>531.5</c:v>
                </c:pt>
                <c:pt idx="3">
                  <c:v>530.4</c:v>
                </c:pt>
                <c:pt idx="4">
                  <c:v>624.79999999999995</c:v>
                </c:pt>
                <c:pt idx="5">
                  <c:v>58.59</c:v>
                </c:pt>
                <c:pt idx="6">
                  <c:v>575.29999999999995</c:v>
                </c:pt>
                <c:pt idx="7">
                  <c:v>640.29999999999995</c:v>
                </c:pt>
                <c:pt idx="8">
                  <c:v>626.11</c:v>
                </c:pt>
                <c:pt idx="9">
                  <c:v>610</c:v>
                </c:pt>
                <c:pt idx="10">
                  <c:v>538.79999999999995</c:v>
                </c:pt>
                <c:pt idx="11">
                  <c:v>519.03</c:v>
                </c:pt>
                <c:pt idx="12">
                  <c:v>443.9899999999999</c:v>
                </c:pt>
                <c:pt idx="13">
                  <c:v>370.94</c:v>
                </c:pt>
                <c:pt idx="14">
                  <c:v>364</c:v>
                </c:pt>
                <c:pt idx="15">
                  <c:v>308.9199999999999</c:v>
                </c:pt>
              </c:numCache>
            </c:numRef>
          </c:val>
        </c:ser>
        <c:ser>
          <c:idx val="3"/>
          <c:order val="3"/>
          <c:tx>
            <c:strRef>
              <c:f>Лист2!$E$1:$E$2</c:f>
              <c:strCache>
                <c:ptCount val="1"/>
                <c:pt idx="0">
                  <c:v>энтеробиоз Могилевская область </c:v>
                </c:pt>
              </c:strCache>
            </c:strRef>
          </c:tx>
          <c:spPr>
            <a:pattFill prst="dkHorz">
              <a:fgClr>
                <a:srgbClr val="3366FF"/>
              </a:fgClr>
              <a:bgClr>
                <a:srgbClr val="FFFFFF"/>
              </a:bgClr>
            </a:pattFill>
            <a:ln w="8819">
              <a:solidFill>
                <a:srgbClr val="000000"/>
              </a:solidFill>
              <a:prstDash val="solid"/>
            </a:ln>
          </c:spPr>
          <c:cat>
            <c:numRef>
              <c:f>Лист2!$A$3:$A$18</c:f>
              <c:numCache>
                <c:formatCode>General</c:formatCode>
                <c:ptCount val="16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</c:numCache>
            </c:numRef>
          </c:cat>
          <c:val>
            <c:numRef>
              <c:f>Лист2!$E$3:$E$18</c:f>
              <c:numCache>
                <c:formatCode>General</c:formatCode>
                <c:ptCount val="16"/>
                <c:pt idx="0">
                  <c:v>1243.3</c:v>
                </c:pt>
                <c:pt idx="1">
                  <c:v>1326.4</c:v>
                </c:pt>
                <c:pt idx="2">
                  <c:v>1126.7</c:v>
                </c:pt>
                <c:pt idx="3">
                  <c:v>1001.3</c:v>
                </c:pt>
                <c:pt idx="4">
                  <c:v>1092</c:v>
                </c:pt>
                <c:pt idx="5">
                  <c:v>948</c:v>
                </c:pt>
                <c:pt idx="6">
                  <c:v>868.3</c:v>
                </c:pt>
                <c:pt idx="7">
                  <c:v>934.2</c:v>
                </c:pt>
                <c:pt idx="8">
                  <c:v>999.5</c:v>
                </c:pt>
                <c:pt idx="9">
                  <c:v>901.9</c:v>
                </c:pt>
                <c:pt idx="10">
                  <c:v>849.8</c:v>
                </c:pt>
                <c:pt idx="11">
                  <c:v>798.13</c:v>
                </c:pt>
                <c:pt idx="12">
                  <c:v>728.63</c:v>
                </c:pt>
                <c:pt idx="13">
                  <c:v>628.41</c:v>
                </c:pt>
                <c:pt idx="14">
                  <c:v>563.54</c:v>
                </c:pt>
                <c:pt idx="15">
                  <c:v>366.5</c:v>
                </c:pt>
              </c:numCache>
            </c:numRef>
          </c:val>
        </c:ser>
        <c:shape val="cylinder"/>
        <c:axId val="277070976"/>
        <c:axId val="277072512"/>
        <c:axId val="0"/>
      </c:bar3DChart>
      <c:catAx>
        <c:axId val="277070976"/>
        <c:scaling>
          <c:orientation val="minMax"/>
        </c:scaling>
        <c:axPos val="b"/>
        <c:numFmt formatCode="General" sourceLinked="1"/>
        <c:tickLblPos val="low"/>
        <c:spPr>
          <a:ln w="22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7072512"/>
        <c:crosses val="autoZero"/>
        <c:auto val="1"/>
        <c:lblAlgn val="ctr"/>
        <c:lblOffset val="100"/>
        <c:tickLblSkip val="3"/>
        <c:tickMarkSkip val="1"/>
      </c:catAx>
      <c:valAx>
        <c:axId val="277072512"/>
        <c:scaling>
          <c:orientation val="minMax"/>
        </c:scaling>
        <c:axPos val="l"/>
        <c:majorGridlines>
          <c:spPr>
            <a:ln w="220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3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Показатель на 100 тыс.. </a:t>
                </a:r>
              </a:p>
            </c:rich>
          </c:tx>
          <c:layout>
            <c:manualLayout>
              <c:xMode val="edge"/>
              <c:yMode val="edge"/>
              <c:x val="2.4271844660194192E-2"/>
              <c:y val="0.29283489096573218"/>
            </c:manualLayout>
          </c:layout>
          <c:spPr>
            <a:noFill/>
            <a:ln w="17638">
              <a:noFill/>
            </a:ln>
          </c:spPr>
        </c:title>
        <c:numFmt formatCode="General" sourceLinked="1"/>
        <c:tickLblPos val="nextTo"/>
        <c:spPr>
          <a:ln w="22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7070976"/>
        <c:crosses val="autoZero"/>
        <c:crossBetween val="between"/>
      </c:valAx>
      <c:spPr>
        <a:solidFill>
          <a:srgbClr val="00CCFF"/>
        </a:solidFill>
        <a:ln w="17638">
          <a:noFill/>
        </a:ln>
      </c:spPr>
    </c:plotArea>
    <c:legend>
      <c:legendPos val="r"/>
      <c:layout>
        <c:manualLayout>
          <c:xMode val="edge"/>
          <c:yMode val="edge"/>
          <c:x val="1.4563106796116509E-2"/>
          <c:y val="0.89719626168224276"/>
          <c:w val="0.97734627831715215"/>
          <c:h val="9.0342679127725839E-2"/>
        </c:manualLayout>
      </c:layout>
      <c:spPr>
        <a:solidFill>
          <a:srgbClr val="FFFFFF"/>
        </a:solidFill>
        <a:ln w="17638">
          <a:noFill/>
        </a:ln>
      </c:spPr>
      <c:txPr>
        <a:bodyPr/>
        <a:lstStyle/>
        <a:p>
          <a:pPr>
            <a:defRPr sz="63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8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2436974789915971E-2"/>
          <c:y val="4.1493775933609964E-2"/>
          <c:w val="0.74285714285714288"/>
          <c:h val="0.7344398340248967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обращения в ЛПО</c:v>
                </c:pt>
              </c:strCache>
            </c:strRef>
          </c:tx>
          <c:spPr>
            <a:ln w="38070">
              <a:solidFill>
                <a:srgbClr val="FF0000"/>
              </a:solidFill>
              <a:prstDash val="solid"/>
            </a:ln>
          </c:spPr>
          <c:marker>
            <c:symbol val="diamond"/>
            <c:size val="11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125</c:v>
                </c:pt>
                <c:pt idx="1">
                  <c:v>203</c:v>
                </c:pt>
                <c:pt idx="2">
                  <c:v>1188</c:v>
                </c:pt>
                <c:pt idx="3">
                  <c:v>1219</c:v>
                </c:pt>
                <c:pt idx="4">
                  <c:v>1328</c:v>
                </c:pt>
                <c:pt idx="5">
                  <c:v>1778</c:v>
                </c:pt>
                <c:pt idx="6">
                  <c:v>1409</c:v>
                </c:pt>
                <c:pt idx="7">
                  <c:v>2105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проф.лечение </c:v>
                </c:pt>
              </c:strCache>
            </c:strRef>
          </c:tx>
          <c:spPr>
            <a:ln w="38070">
              <a:solidFill>
                <a:srgbClr val="FF00FF"/>
              </a:solidFill>
              <a:prstDash val="solid"/>
            </a:ln>
          </c:spPr>
          <c:marker>
            <c:symbol val="square"/>
            <c:size val="11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81</c:v>
                </c:pt>
                <c:pt idx="1">
                  <c:v>116</c:v>
                </c:pt>
                <c:pt idx="2">
                  <c:v>870</c:v>
                </c:pt>
                <c:pt idx="3">
                  <c:v>1033</c:v>
                </c:pt>
                <c:pt idx="4">
                  <c:v>1230</c:v>
                </c:pt>
                <c:pt idx="5">
                  <c:v>1457</c:v>
                </c:pt>
                <c:pt idx="6">
                  <c:v>1409</c:v>
                </c:pt>
                <c:pt idx="7">
                  <c:v>2105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исследований клещей</c:v>
                </c:pt>
              </c:strCache>
            </c:strRef>
          </c:tx>
          <c:spPr>
            <a:ln w="38070">
              <a:solidFill>
                <a:srgbClr val="008000"/>
              </a:solidFill>
              <a:prstDash val="solid"/>
            </a:ln>
          </c:spPr>
          <c:marker>
            <c:symbol val="triangle"/>
            <c:size val="11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37</c:v>
                </c:pt>
                <c:pt idx="1">
                  <c:v>177</c:v>
                </c:pt>
                <c:pt idx="2">
                  <c:v>527</c:v>
                </c:pt>
                <c:pt idx="3">
                  <c:v>1227</c:v>
                </c:pt>
                <c:pt idx="4">
                  <c:v>1704</c:v>
                </c:pt>
                <c:pt idx="5">
                  <c:v>1243</c:v>
                </c:pt>
                <c:pt idx="6">
                  <c:v>847</c:v>
                </c:pt>
                <c:pt idx="7">
                  <c:v>393</c:v>
                </c:pt>
              </c:numCache>
            </c:numRef>
          </c:val>
        </c:ser>
        <c:dLbls>
          <c:showVal val="1"/>
        </c:dLbls>
        <c:marker val="1"/>
        <c:axId val="277085568"/>
        <c:axId val="277259776"/>
      </c:lineChart>
      <c:catAx>
        <c:axId val="277085568"/>
        <c:scaling>
          <c:orientation val="minMax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7259776"/>
        <c:crosses val="autoZero"/>
        <c:auto val="1"/>
        <c:lblAlgn val="ctr"/>
        <c:lblOffset val="100"/>
        <c:tickLblSkip val="1"/>
        <c:tickMarkSkip val="1"/>
      </c:catAx>
      <c:valAx>
        <c:axId val="27725977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7085568"/>
        <c:crosses val="autoZero"/>
        <c:crossBetween val="between"/>
      </c:valAx>
      <c:spPr>
        <a:solidFill>
          <a:srgbClr val="FFCC99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2016806722689079E-2"/>
          <c:y val="0.88796680497925273"/>
          <c:w val="0.8252100840336134"/>
          <c:h val="0.11618257261410789"/>
        </c:manualLayout>
      </c:layout>
      <c:spPr>
        <a:solidFill>
          <a:srgbClr val="FFCC00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CC00"/>
    </a:solidFill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2"/>
      <c:hPercent val="100"/>
      <c:rotY val="17"/>
      <c:depthPercent val="100"/>
      <c:perspective val="30"/>
    </c:view3D>
    <c:floor>
      <c:spPr>
        <a:solidFill>
          <a:srgbClr val="FFFF99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25400">
          <a:noFill/>
        </a:ln>
      </c:spPr>
    </c:sideWall>
    <c:backWall>
      <c:spPr>
        <a:solidFill>
          <a:srgbClr val="FFFF99"/>
        </a:solidFill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Могилевская область</c:v>
                </c:pt>
              </c:strCache>
            </c:strRef>
          </c:tx>
          <c:spPr>
            <a:pattFill prst="dkHorz">
              <a:fgClr>
                <a:srgbClr val="0000FF"/>
              </a:fgClr>
              <a:bgClr>
                <a:srgbClr val="FFFFFF"/>
              </a:bgClr>
            </a:pattFill>
            <a:ln w="3175">
              <a:solidFill>
                <a:srgbClr val="3366FF"/>
              </a:solidFill>
              <a:prstDash val="solid"/>
            </a:ln>
          </c:spPr>
          <c:dLbls>
            <c:delete val="1"/>
          </c:dLbls>
          <c:cat>
            <c:numRef>
              <c:f>Sheet1!$A$2:$A$13</c:f>
              <c:numCache>
                <c:formatCode>General</c:formatCode>
                <c:ptCount val="1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214.55</c:v>
                </c:pt>
                <c:pt idx="1">
                  <c:v>254.67</c:v>
                </c:pt>
                <c:pt idx="2">
                  <c:v>338.87</c:v>
                </c:pt>
                <c:pt idx="3">
                  <c:v>275.31</c:v>
                </c:pt>
                <c:pt idx="4">
                  <c:v>197.3</c:v>
                </c:pt>
                <c:pt idx="5">
                  <c:v>157.02000000000001</c:v>
                </c:pt>
                <c:pt idx="6">
                  <c:v>133.9</c:v>
                </c:pt>
                <c:pt idx="7">
                  <c:v>109.16</c:v>
                </c:pt>
                <c:pt idx="8">
                  <c:v>119.2</c:v>
                </c:pt>
                <c:pt idx="9">
                  <c:v>99.09</c:v>
                </c:pt>
                <c:pt idx="10">
                  <c:v>91.490000000000023</c:v>
                </c:pt>
                <c:pt idx="11">
                  <c:v>103.542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г.Могилёв</c:v>
                </c:pt>
              </c:strCache>
            </c:strRef>
          </c:tx>
          <c:spPr>
            <a:pattFill prst="ltVert">
              <a:fgClr>
                <a:srgbClr val="993366"/>
              </a:fgClr>
              <a:bgClr>
                <a:srgbClr val="FFFFFF"/>
              </a:bgClr>
            </a:pattFill>
            <a:ln w="3175">
              <a:solidFill>
                <a:srgbClr val="993366"/>
              </a:solidFill>
              <a:prstDash val="solid"/>
            </a:ln>
          </c:spPr>
          <c:dLbls>
            <c:delete val="1"/>
          </c:dLbls>
          <c:cat>
            <c:numRef>
              <c:f>Sheet1!$A$2:$A$13</c:f>
              <c:numCache>
                <c:formatCode>General</c:formatCode>
                <c:ptCount val="1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375.46999999999991</c:v>
                </c:pt>
                <c:pt idx="1">
                  <c:v>440.24</c:v>
                </c:pt>
                <c:pt idx="2">
                  <c:v>621.66999999999996</c:v>
                </c:pt>
                <c:pt idx="3">
                  <c:v>595.70000000000005</c:v>
                </c:pt>
                <c:pt idx="4">
                  <c:v>399.01</c:v>
                </c:pt>
                <c:pt idx="5">
                  <c:v>328.42999999999989</c:v>
                </c:pt>
                <c:pt idx="6">
                  <c:v>215.3</c:v>
                </c:pt>
                <c:pt idx="7">
                  <c:v>199.4</c:v>
                </c:pt>
                <c:pt idx="8">
                  <c:v>201.31</c:v>
                </c:pt>
                <c:pt idx="9">
                  <c:v>167.63</c:v>
                </c:pt>
                <c:pt idx="10">
                  <c:v>157.09</c:v>
                </c:pt>
                <c:pt idx="11">
                  <c:v>169.17</c:v>
                </c:pt>
              </c:numCache>
            </c:numRef>
          </c:val>
        </c:ser>
        <c:dLbls>
          <c:showVal val="1"/>
        </c:dLbls>
        <c:shape val="cylinder"/>
        <c:axId val="252050432"/>
        <c:axId val="251978496"/>
        <c:axId val="251637248"/>
      </c:bar3DChart>
      <c:catAx>
        <c:axId val="252050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9784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51978496"/>
        <c:scaling>
          <c:orientation val="minMax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показ-ль на 100 тыс. населения</a:t>
                </a:r>
              </a:p>
            </c:rich>
          </c:tx>
          <c:layout>
            <c:manualLayout>
              <c:xMode val="edge"/>
              <c:yMode val="edge"/>
              <c:x val="9.6026490066225212E-2"/>
              <c:y val="0.3270142180094788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2050432"/>
        <c:crosses val="autoZero"/>
        <c:crossBetween val="between"/>
      </c:valAx>
      <c:serAx>
        <c:axId val="2516372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1978496"/>
        <c:crosses val="autoZero"/>
        <c:tickLblSkip val="1"/>
        <c:tickMarkSkip val="1"/>
      </c:ser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6258278145695388"/>
          <c:y val="0.95023696682464431"/>
          <c:w val="0.39569536423841073"/>
          <c:h val="3.3175355450236983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99CC"/>
    </a:soli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48"/>
      <c:rotY val="43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standard"/>
        <c:ser>
          <c:idx val="3"/>
          <c:order val="0"/>
          <c:tx>
            <c:strRef>
              <c:f>Sheet1!$A$2</c:f>
              <c:strCache>
                <c:ptCount val="1"/>
                <c:pt idx="0">
                  <c:v>расшифровка  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203761755485892"/>
                  <c:y val="0.5357142857142855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7742946708463972"/>
                  <c:y val="0.4837662337662338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9498432601880901"/>
                  <c:y val="0.48376623376623384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1253918495297757"/>
                  <c:y val="0.4707792207792208"/>
                </c:manualLayout>
              </c:layout>
              <c:showVal val="1"/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50.04</c:v>
                </c:pt>
                <c:pt idx="1">
                  <c:v>61.6</c:v>
                </c:pt>
                <c:pt idx="2">
                  <c:v>67.900000000000006</c:v>
                </c:pt>
                <c:pt idx="3">
                  <c:v>83.8</c:v>
                </c:pt>
                <c:pt idx="4">
                  <c:v>84.7</c:v>
                </c:pt>
                <c:pt idx="5">
                  <c:v>84.5</c:v>
                </c:pt>
                <c:pt idx="6">
                  <c:v>80.7</c:v>
                </c:pt>
              </c:numCache>
            </c:numRef>
          </c:val>
        </c:ser>
        <c:dLbls>
          <c:showVal val="1"/>
        </c:dLbls>
        <c:gapWidth val="240"/>
        <c:gapDepth val="130"/>
        <c:shape val="box"/>
        <c:axId val="249338112"/>
        <c:axId val="249348096"/>
        <c:axId val="251776064"/>
      </c:bar3DChart>
      <c:catAx>
        <c:axId val="24933811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9348096"/>
        <c:crosses val="autoZero"/>
        <c:auto val="1"/>
        <c:lblAlgn val="ctr"/>
        <c:lblOffset val="100"/>
        <c:tickLblSkip val="1"/>
        <c:tickMarkSkip val="1"/>
      </c:catAx>
      <c:valAx>
        <c:axId val="249348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
 %  </a:t>
                </a:r>
              </a:p>
            </c:rich>
          </c:tx>
          <c:layout>
            <c:manualLayout>
              <c:xMode val="edge"/>
              <c:yMode val="edge"/>
              <c:x val="0"/>
              <c:y val="0.4870129870129872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9338112"/>
        <c:crosses val="autoZero"/>
        <c:crossBetween val="between"/>
        <c:majorUnit val="10"/>
      </c:valAx>
      <c:serAx>
        <c:axId val="251776064"/>
        <c:scaling>
          <c:orientation val="minMax"/>
        </c:scaling>
        <c:delete val="1"/>
        <c:axPos val="b"/>
        <c:tickLblPos val="nextTo"/>
        <c:crossAx val="249348096"/>
        <c:crosses val="autoZero"/>
      </c:ser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801242236024846"/>
          <c:y val="9.6774193548387122E-2"/>
          <c:w val="0.85714285714285732"/>
          <c:h val="0.56854838709677424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дизентерия</c:v>
                </c:pt>
              </c:strCache>
            </c:strRef>
          </c:tx>
          <c:spPr>
            <a:pattFill prst="wdUpDiag">
              <a:fgClr>
                <a:srgbClr val="9999FF"/>
              </a:fgClr>
              <a:bgClr>
                <a:srgbClr val="333399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502</c:v>
                </c:pt>
                <c:pt idx="1">
                  <c:v>1352</c:v>
                </c:pt>
                <c:pt idx="2">
                  <c:v>220</c:v>
                </c:pt>
                <c:pt idx="3">
                  <c:v>313</c:v>
                </c:pt>
                <c:pt idx="4">
                  <c:v>552</c:v>
                </c:pt>
                <c:pt idx="5">
                  <c:v>1012</c:v>
                </c:pt>
                <c:pt idx="6">
                  <c:v>1001</c:v>
                </c:pt>
                <c:pt idx="7">
                  <c:v>385</c:v>
                </c:pt>
                <c:pt idx="8">
                  <c:v>299</c:v>
                </c:pt>
                <c:pt idx="9">
                  <c:v>131</c:v>
                </c:pt>
                <c:pt idx="10">
                  <c:v>90</c:v>
                </c:pt>
                <c:pt idx="11">
                  <c:v>54</c:v>
                </c:pt>
                <c:pt idx="12">
                  <c:v>31</c:v>
                </c:pt>
                <c:pt idx="13">
                  <c:v>33</c:v>
                </c:pt>
                <c:pt idx="14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ротовирусы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5</c:v>
                </c:pt>
                <c:pt idx="1">
                  <c:v>27</c:v>
                </c:pt>
                <c:pt idx="2">
                  <c:v>13</c:v>
                </c:pt>
                <c:pt idx="3">
                  <c:v>60</c:v>
                </c:pt>
                <c:pt idx="4">
                  <c:v>44</c:v>
                </c:pt>
                <c:pt idx="5">
                  <c:v>163</c:v>
                </c:pt>
                <c:pt idx="6">
                  <c:v>228</c:v>
                </c:pt>
                <c:pt idx="7">
                  <c:v>447</c:v>
                </c:pt>
                <c:pt idx="8">
                  <c:v>137</c:v>
                </c:pt>
                <c:pt idx="9">
                  <c:v>214</c:v>
                </c:pt>
                <c:pt idx="10">
                  <c:v>208</c:v>
                </c:pt>
                <c:pt idx="11">
                  <c:v>346</c:v>
                </c:pt>
                <c:pt idx="12">
                  <c:v>254</c:v>
                </c:pt>
                <c:pt idx="13">
                  <c:v>290</c:v>
                </c:pt>
                <c:pt idx="14">
                  <c:v>358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др. возбуд. бакт. этиол.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  <c:pt idx="0">
                  <c:v>294</c:v>
                </c:pt>
                <c:pt idx="1">
                  <c:v>210</c:v>
                </c:pt>
                <c:pt idx="2">
                  <c:v>213</c:v>
                </c:pt>
                <c:pt idx="3">
                  <c:v>208</c:v>
                </c:pt>
                <c:pt idx="4">
                  <c:v>247</c:v>
                </c:pt>
                <c:pt idx="5">
                  <c:v>240</c:v>
                </c:pt>
                <c:pt idx="6">
                  <c:v>166</c:v>
                </c:pt>
                <c:pt idx="7">
                  <c:v>148</c:v>
                </c:pt>
                <c:pt idx="8">
                  <c:v>160</c:v>
                </c:pt>
                <c:pt idx="9">
                  <c:v>137</c:v>
                </c:pt>
                <c:pt idx="10">
                  <c:v>196</c:v>
                </c:pt>
                <c:pt idx="11">
                  <c:v>216</c:v>
                </c:pt>
                <c:pt idx="12">
                  <c:v>236</c:v>
                </c:pt>
                <c:pt idx="13">
                  <c:v>167</c:v>
                </c:pt>
                <c:pt idx="14">
                  <c:v>145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установл.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Sheet1!$B$5:$P$5</c:f>
              <c:numCache>
                <c:formatCode>General</c:formatCode>
                <c:ptCount val="15"/>
                <c:pt idx="0">
                  <c:v>644</c:v>
                </c:pt>
                <c:pt idx="1">
                  <c:v>893</c:v>
                </c:pt>
                <c:pt idx="2">
                  <c:v>587</c:v>
                </c:pt>
                <c:pt idx="3">
                  <c:v>809</c:v>
                </c:pt>
                <c:pt idx="4">
                  <c:v>291</c:v>
                </c:pt>
                <c:pt idx="5">
                  <c:v>403</c:v>
                </c:pt>
                <c:pt idx="6">
                  <c:v>740</c:v>
                </c:pt>
                <c:pt idx="7">
                  <c:v>459</c:v>
                </c:pt>
                <c:pt idx="8">
                  <c:v>595</c:v>
                </c:pt>
                <c:pt idx="9">
                  <c:v>301</c:v>
                </c:pt>
                <c:pt idx="10">
                  <c:v>234</c:v>
                </c:pt>
                <c:pt idx="11">
                  <c:v>119</c:v>
                </c:pt>
                <c:pt idx="12">
                  <c:v>94</c:v>
                </c:pt>
                <c:pt idx="13">
                  <c:v>90</c:v>
                </c:pt>
                <c:pt idx="14">
                  <c:v>114</c:v>
                </c:pt>
              </c:numCache>
            </c:numRef>
          </c:val>
        </c:ser>
        <c:overlap val="10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  <c:axId val="252095488"/>
        <c:axId val="252101376"/>
      </c:barChart>
      <c:catAx>
        <c:axId val="2520954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2101376"/>
        <c:crosses val="autoZero"/>
        <c:auto val="1"/>
        <c:lblAlgn val="ctr"/>
        <c:lblOffset val="100"/>
        <c:tickLblSkip val="1"/>
        <c:tickMarkSkip val="1"/>
      </c:catAx>
      <c:valAx>
        <c:axId val="252101376"/>
        <c:scaling>
          <c:orientation val="minMax"/>
        </c:scaling>
        <c:axPos val="l"/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20954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7308488612836447E-2"/>
          <c:y val="0.8870967741935486"/>
          <c:w val="0.87577639751552816"/>
          <c:h val="8.870967741935482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000080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178082191780851E-2"/>
          <c:y val="2.9585798816568046E-2"/>
          <c:w val="0.89897260273972601"/>
          <c:h val="0.84023668639053262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Блегдам</c:v>
                </c:pt>
              </c:strCache>
            </c:strRef>
          </c:tx>
          <c:spPr>
            <a:solidFill>
              <a:srgbClr val="FF8080"/>
            </a:solidFill>
            <a:ln w="12685">
              <a:solidFill>
                <a:srgbClr val="000000"/>
              </a:solidFill>
              <a:prstDash val="solid"/>
            </a:ln>
          </c:spPr>
          <c:cat>
            <c:numRef>
              <c:f>Sheet1!$B$1:$S$1</c:f>
              <c:numCache>
                <c:formatCode>General</c:formatCode>
                <c:ptCount val="1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57.6</c:v>
                </c:pt>
                <c:pt idx="1">
                  <c:v>65.5</c:v>
                </c:pt>
                <c:pt idx="2">
                  <c:v>67.8</c:v>
                </c:pt>
                <c:pt idx="3">
                  <c:v>56.8</c:v>
                </c:pt>
                <c:pt idx="4">
                  <c:v>46.6</c:v>
                </c:pt>
                <c:pt idx="5">
                  <c:v>50</c:v>
                </c:pt>
                <c:pt idx="6">
                  <c:v>55.8</c:v>
                </c:pt>
                <c:pt idx="7">
                  <c:v>54.4</c:v>
                </c:pt>
                <c:pt idx="8">
                  <c:v>63.7</c:v>
                </c:pt>
                <c:pt idx="9">
                  <c:v>50.3</c:v>
                </c:pt>
                <c:pt idx="10">
                  <c:v>66</c:v>
                </c:pt>
                <c:pt idx="11">
                  <c:v>36.270000000000003</c:v>
                </c:pt>
                <c:pt idx="12">
                  <c:v>44.9</c:v>
                </c:pt>
                <c:pt idx="13">
                  <c:v>54.7</c:v>
                </c:pt>
                <c:pt idx="14">
                  <c:v>86.25</c:v>
                </c:pt>
                <c:pt idx="15">
                  <c:v>67.5</c:v>
                </c:pt>
                <c:pt idx="16">
                  <c:v>60.9</c:v>
                </c:pt>
                <c:pt idx="17">
                  <c:v>73.7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Тифимуриум</c:v>
                </c:pt>
              </c:strCache>
            </c:strRef>
          </c:tx>
          <c:spPr>
            <a:solidFill>
              <a:srgbClr val="000000"/>
            </a:solidFill>
            <a:ln w="12685">
              <a:solidFill>
                <a:srgbClr val="000000"/>
              </a:solidFill>
              <a:prstDash val="solid"/>
            </a:ln>
          </c:spPr>
          <c:cat>
            <c:numRef>
              <c:f>Sheet1!$B$1:$S$1</c:f>
              <c:numCache>
                <c:formatCode>General</c:formatCode>
                <c:ptCount val="1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18.600000000000001</c:v>
                </c:pt>
                <c:pt idx="1">
                  <c:v>22.6</c:v>
                </c:pt>
                <c:pt idx="2">
                  <c:v>19.399999999999999</c:v>
                </c:pt>
                <c:pt idx="3">
                  <c:v>28.7</c:v>
                </c:pt>
                <c:pt idx="4">
                  <c:v>36.700000000000003</c:v>
                </c:pt>
                <c:pt idx="5">
                  <c:v>18.8</c:v>
                </c:pt>
                <c:pt idx="6">
                  <c:v>32.800000000000004</c:v>
                </c:pt>
                <c:pt idx="7">
                  <c:v>41.3</c:v>
                </c:pt>
                <c:pt idx="8">
                  <c:v>25.1</c:v>
                </c:pt>
                <c:pt idx="9">
                  <c:v>21.5</c:v>
                </c:pt>
                <c:pt idx="10">
                  <c:v>26.8</c:v>
                </c:pt>
                <c:pt idx="11">
                  <c:v>57.52</c:v>
                </c:pt>
                <c:pt idx="12">
                  <c:v>28.57</c:v>
                </c:pt>
                <c:pt idx="13">
                  <c:v>26.5</c:v>
                </c:pt>
                <c:pt idx="14">
                  <c:v>6.25</c:v>
                </c:pt>
                <c:pt idx="15">
                  <c:v>11.3</c:v>
                </c:pt>
                <c:pt idx="16">
                  <c:v>16.7</c:v>
                </c:pt>
                <c:pt idx="17">
                  <c:v>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rgbClr val="FFFFFF"/>
            </a:solidFill>
            <a:ln w="12685">
              <a:solidFill>
                <a:srgbClr val="000000"/>
              </a:solidFill>
              <a:prstDash val="solid"/>
            </a:ln>
          </c:spPr>
          <c:cat>
            <c:numRef>
              <c:f>Sheet1!$B$1:$S$1</c:f>
              <c:numCache>
                <c:formatCode>General</c:formatCode>
                <c:ptCount val="1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</c:numCache>
            </c:numRef>
          </c:cat>
          <c:val>
            <c:numRef>
              <c:f>Sheet1!$B$4:$S$4</c:f>
              <c:numCache>
                <c:formatCode>General</c:formatCode>
                <c:ptCount val="18"/>
                <c:pt idx="0">
                  <c:v>23.8</c:v>
                </c:pt>
                <c:pt idx="1">
                  <c:v>11.9</c:v>
                </c:pt>
                <c:pt idx="2">
                  <c:v>12.8</c:v>
                </c:pt>
                <c:pt idx="3">
                  <c:v>14.5</c:v>
                </c:pt>
                <c:pt idx="4">
                  <c:v>16.7</c:v>
                </c:pt>
                <c:pt idx="5">
                  <c:v>31.2</c:v>
                </c:pt>
                <c:pt idx="6">
                  <c:v>11.4</c:v>
                </c:pt>
                <c:pt idx="7">
                  <c:v>4.3</c:v>
                </c:pt>
                <c:pt idx="8">
                  <c:v>11.15</c:v>
                </c:pt>
                <c:pt idx="9">
                  <c:v>28.2</c:v>
                </c:pt>
                <c:pt idx="10">
                  <c:v>7.2</c:v>
                </c:pt>
                <c:pt idx="11">
                  <c:v>6.21</c:v>
                </c:pt>
                <c:pt idx="12">
                  <c:v>26.53</c:v>
                </c:pt>
                <c:pt idx="13">
                  <c:v>7.7</c:v>
                </c:pt>
                <c:pt idx="14">
                  <c:v>7.5</c:v>
                </c:pt>
                <c:pt idx="15">
                  <c:v>21.2</c:v>
                </c:pt>
                <c:pt idx="16">
                  <c:v>22.4</c:v>
                </c:pt>
                <c:pt idx="17">
                  <c:v>23.8</c:v>
                </c:pt>
              </c:numCache>
            </c:numRef>
          </c:val>
        </c:ser>
        <c:overlap val="100"/>
        <c:axId val="136775168"/>
        <c:axId val="136776704"/>
      </c:barChart>
      <c:catAx>
        <c:axId val="136775168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6776704"/>
        <c:crosses val="autoZero"/>
        <c:auto val="1"/>
        <c:lblAlgn val="ctr"/>
        <c:lblOffset val="100"/>
        <c:tickLblSkip val="1"/>
        <c:tickMarkSkip val="1"/>
      </c:catAx>
      <c:valAx>
        <c:axId val="13677670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Удельный вес</a:t>
                </a:r>
              </a:p>
            </c:rich>
          </c:tx>
          <c:layout>
            <c:manualLayout>
              <c:xMode val="edge"/>
              <c:yMode val="edge"/>
              <c:x val="0"/>
              <c:y val="0.32544378698224879"/>
            </c:manualLayout>
          </c:layout>
          <c:spPr>
            <a:noFill/>
            <a:ln w="25369">
              <a:noFill/>
            </a:ln>
          </c:spPr>
        </c:title>
        <c:numFmt formatCode="0%" sourceLinked="0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775168"/>
        <c:crosses val="autoZero"/>
        <c:crossBetween val="between"/>
      </c:valAx>
      <c:spPr>
        <a:noFill/>
        <a:ln w="1268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0890410958904121"/>
          <c:y val="0.95562130177514792"/>
          <c:w val="0.5547945205479452"/>
          <c:h val="4.7337278106508902E-2"/>
        </c:manualLayout>
      </c:layout>
      <c:spPr>
        <a:noFill/>
        <a:ln w="25369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Рис. 37.Сезонная динамика заболеваемости сальмонеллёзом по г. Могилёву за 2001-2008гг.</a:t>
            </a:r>
          </a:p>
        </c:rich>
      </c:tx>
      <c:layout>
        <c:manualLayout>
          <c:xMode val="edge"/>
          <c:yMode val="edge"/>
          <c:x val="0.15009267950897973"/>
          <c:y val="0.89727594598991856"/>
        </c:manualLayout>
      </c:layout>
    </c:title>
    <c:plotArea>
      <c:layout>
        <c:manualLayout>
          <c:layoutTarget val="inner"/>
          <c:xMode val="edge"/>
          <c:yMode val="edge"/>
          <c:x val="7.6821377045985434E-2"/>
          <c:y val="5.0211961102773393E-2"/>
          <c:w val="0.61596918134652823"/>
          <c:h val="0.7406208303351457"/>
        </c:manualLayout>
      </c:layout>
      <c:radarChart>
        <c:radarStyle val="marker"/>
        <c:ser>
          <c:idx val="0"/>
          <c:order val="0"/>
          <c:tx>
            <c:strRef>
              <c:f>сальмонел.!$U$3</c:f>
              <c:strCache>
                <c:ptCount val="1"/>
                <c:pt idx="0">
                  <c:v>текущая заболеваемость за 2008г.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сальмонел.!$V$2:$AG$2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сальмонел.!$V$3:$AG$3</c:f>
              <c:numCache>
                <c:formatCode>0.00</c:formatCode>
                <c:ptCount val="12"/>
                <c:pt idx="0">
                  <c:v>3.7918286093468567</c:v>
                </c:pt>
                <c:pt idx="1">
                  <c:v>1.8959143046734288</c:v>
                </c:pt>
                <c:pt idx="2">
                  <c:v>3.7918286093468567</c:v>
                </c:pt>
                <c:pt idx="3">
                  <c:v>2.9792939073439593</c:v>
                </c:pt>
                <c:pt idx="4">
                  <c:v>6.2294327153555518</c:v>
                </c:pt>
                <c:pt idx="5">
                  <c:v>8.3961919206966122</c:v>
                </c:pt>
                <c:pt idx="6">
                  <c:v>7.5836572186937152</c:v>
                </c:pt>
                <c:pt idx="7">
                  <c:v>11.917175629375818</c:v>
                </c:pt>
                <c:pt idx="8">
                  <c:v>9.750416424034773</c:v>
                </c:pt>
                <c:pt idx="9">
                  <c:v>8.937881722031813</c:v>
                </c:pt>
                <c:pt idx="10">
                  <c:v>4.3335184106821334</c:v>
                </c:pt>
                <c:pt idx="11">
                  <c:v>0.54168980133526534</c:v>
                </c:pt>
              </c:numCache>
            </c:numRef>
          </c:val>
        </c:ser>
        <c:ser>
          <c:idx val="1"/>
          <c:order val="1"/>
          <c:tx>
            <c:strRef>
              <c:f>сальмонел.!$U$4</c:f>
              <c:strCache>
                <c:ptCount val="1"/>
                <c:pt idx="0">
                  <c:v>верхний предел среднемесячной заболеваемости     </c:v>
                </c:pt>
              </c:strCache>
            </c:strRef>
          </c:tx>
          <c:cat>
            <c:strRef>
              <c:f>сальмонел.!$V$2:$AG$2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сальмонел.!$V$4:$AG$4</c:f>
              <c:numCache>
                <c:formatCode>0.00</c:formatCode>
                <c:ptCount val="12"/>
                <c:pt idx="0">
                  <c:v>11.893494896464645</c:v>
                </c:pt>
                <c:pt idx="1">
                  <c:v>9.9758692251078767</c:v>
                </c:pt>
                <c:pt idx="2">
                  <c:v>12.090590742844762</c:v>
                </c:pt>
                <c:pt idx="3">
                  <c:v>9.6529298915867248</c:v>
                </c:pt>
                <c:pt idx="4">
                  <c:v>8.8525933065123823</c:v>
                </c:pt>
                <c:pt idx="5">
                  <c:v>10.717232317545022</c:v>
                </c:pt>
                <c:pt idx="6">
                  <c:v>14.956371297765656</c:v>
                </c:pt>
                <c:pt idx="7">
                  <c:v>12.841524531850769</c:v>
                </c:pt>
                <c:pt idx="8">
                  <c:v>8.1179005448491353</c:v>
                </c:pt>
                <c:pt idx="9">
                  <c:v>5.851536515750464</c:v>
                </c:pt>
                <c:pt idx="10">
                  <c:v>3.4557355205270186</c:v>
                </c:pt>
                <c:pt idx="11">
                  <c:v>6.7212305934857115</c:v>
                </c:pt>
              </c:numCache>
            </c:numRef>
          </c:val>
        </c:ser>
        <c:ser>
          <c:idx val="2"/>
          <c:order val="2"/>
          <c:tx>
            <c:strRef>
              <c:f>сальмонел.!$U$5</c:f>
              <c:strCache>
                <c:ptCount val="1"/>
                <c:pt idx="0">
                  <c:v>верхний предел круглогодичной заболеваемости    </c:v>
                </c:pt>
              </c:strCache>
            </c:strRef>
          </c:tx>
          <c:spPr>
            <a:ln>
              <a:prstDash val="sysDash"/>
            </a:ln>
          </c:spPr>
          <c:cat>
            <c:strRef>
              <c:f>сальмонел.!$V$2:$AG$2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сальмонел.!$V$5:$AG$5</c:f>
              <c:numCache>
                <c:formatCode>0.00</c:formatCode>
                <c:ptCount val="12"/>
                <c:pt idx="0">
                  <c:v>7.3423435441019684</c:v>
                </c:pt>
                <c:pt idx="1">
                  <c:v>7.3423435441019684</c:v>
                </c:pt>
                <c:pt idx="2">
                  <c:v>7.3423435441019684</c:v>
                </c:pt>
                <c:pt idx="3">
                  <c:v>7.3423435441019684</c:v>
                </c:pt>
                <c:pt idx="4">
                  <c:v>7.3423435441019684</c:v>
                </c:pt>
                <c:pt idx="5">
                  <c:v>7.3423435441019684</c:v>
                </c:pt>
                <c:pt idx="6">
                  <c:v>7.3423435441019684</c:v>
                </c:pt>
                <c:pt idx="7">
                  <c:v>7.3423435441019684</c:v>
                </c:pt>
                <c:pt idx="8">
                  <c:v>7.3423435441019684</c:v>
                </c:pt>
                <c:pt idx="9">
                  <c:v>7.3423435441019684</c:v>
                </c:pt>
                <c:pt idx="10">
                  <c:v>7.3423435441019684</c:v>
                </c:pt>
                <c:pt idx="11">
                  <c:v>7.3423435441019684</c:v>
                </c:pt>
              </c:numCache>
            </c:numRef>
          </c:val>
        </c:ser>
        <c:axId val="272933248"/>
        <c:axId val="272934784"/>
      </c:radarChart>
      <c:catAx>
        <c:axId val="272933248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2934784"/>
        <c:crosses val="autoZero"/>
        <c:lblAlgn val="ctr"/>
        <c:lblOffset val="100"/>
      </c:catAx>
      <c:valAx>
        <c:axId val="272934784"/>
        <c:scaling>
          <c:orientation val="minMax"/>
        </c:scaling>
        <c:axPos val="l"/>
        <c:majorGridlines/>
        <c:minorGridlines/>
        <c:numFmt formatCode="0.0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2933248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66868084613131906"/>
          <c:y val="3.9376413350144988E-2"/>
          <c:w val="0.28731786225475858"/>
          <c:h val="0.77961335064274084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8"/>
      <c:hPercent val="44"/>
      <c:depthPercent val="100"/>
      <c:rAngAx val="1"/>
    </c:view3D>
    <c:floor>
      <c:spPr>
        <a:solidFill>
          <a:srgbClr val="FFFFFF"/>
        </a:solidFill>
        <a:ln w="9525">
          <a:noFill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коклюш  </c:v>
                </c:pt>
              </c:strCache>
            </c:strRef>
          </c:tx>
          <c:spPr>
            <a:solidFill>
              <a:srgbClr val="0000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7"/>
              <c:layout>
                <c:manualLayout>
                  <c:xMode val="edge"/>
                  <c:yMode val="edge"/>
                  <c:x val="0.27272727272727282"/>
                  <c:y val="0.11224489795918367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FFFFF"/>
              </a:solidFill>
              <a:ln w="2538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критерии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99</c:v>
                </c:pt>
                <c:pt idx="1">
                  <c:v>97.1</c:v>
                </c:pt>
                <c:pt idx="2">
                  <c:v>98.5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корь  </c:v>
                </c:pt>
              </c:strCache>
            </c:strRef>
          </c:tx>
          <c:spPr>
            <a:solidFill>
              <a:srgbClr val="800000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4292101341281674"/>
                  <c:y val="0.34353741496598639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8897168405365157"/>
                  <c:y val="0.3707482993197280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1117734724292063"/>
                  <c:y val="0.3877551020408163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5126676602086442"/>
                  <c:y val="0.39115646258503411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29657228017883774"/>
                  <c:y val="6.8027210884353775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23099850968703434"/>
                  <c:y val="6.4625850340136071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25931445603576758"/>
                  <c:y val="6.4625850340136071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28763040238450088"/>
                  <c:y val="6.4625850340136071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Mode val="edge"/>
                  <c:yMode val="edge"/>
                  <c:x val="0.31445603576751135"/>
                  <c:y val="6.4625850340136071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Mode val="edge"/>
                  <c:yMode val="edge"/>
                  <c:x val="0.34277198211624454"/>
                  <c:y val="9.8639455782312993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FFFFF"/>
              </a:solidFill>
              <a:ln w="2538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критерии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99.1</c:v>
                </c:pt>
                <c:pt idx="1">
                  <c:v>98.1</c:v>
                </c:pt>
                <c:pt idx="2">
                  <c:v>97.7</c:v>
                </c:pt>
                <c:pt idx="3">
                  <c:v>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полиомелит  </c:v>
                </c:pt>
              </c:strCache>
            </c:strRef>
          </c:tx>
          <c:spPr>
            <a:solidFill>
              <a:srgbClr val="00FF00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816691505216094"/>
                  <c:y val="0.1836734693877551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579731743666171"/>
                  <c:y val="0.3231292517006804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6482861400894213"/>
                  <c:y val="0.21428571428571427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9448584202682562"/>
                  <c:y val="0.2312925170068027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0402384500745178"/>
                  <c:y val="2.3809523809523812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23695976154992554"/>
                  <c:y val="2.0408163265306131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2637853949329359"/>
                  <c:y val="2.0408163265306131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29806259314456057"/>
                  <c:y val="7.4829931972789129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Mode val="edge"/>
                  <c:yMode val="edge"/>
                  <c:x val="0.32786885245901648"/>
                  <c:y val="2.7210884353741485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Mode val="edge"/>
                  <c:yMode val="edge"/>
                  <c:x val="0.35171385991058135"/>
                  <c:y val="7.823129251700682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FFFFF"/>
              </a:solidFill>
              <a:ln w="2538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критерии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99.5</c:v>
                </c:pt>
                <c:pt idx="1">
                  <c:v>86.8</c:v>
                </c:pt>
                <c:pt idx="2">
                  <c:v>98</c:v>
                </c:pt>
                <c:pt idx="3">
                  <c:v>97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дифтерия  </c:v>
                </c:pt>
              </c:strCache>
            </c:strRef>
          </c:tx>
          <c:spPr>
            <a:solidFill>
              <a:srgbClr val="FF0000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5320417287630401"/>
                  <c:y val="2.3809523809523812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7690014903129657"/>
                  <c:y val="5.1020408163265293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0357675111773457"/>
                  <c:y val="2.0408163265306131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5111773472429211"/>
                  <c:y val="5.782312925170071E-2"/>
                </c:manualLayout>
              </c:layout>
              <c:showVal val="1"/>
            </c:dLbl>
            <c:dLbl>
              <c:idx val="4"/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5"/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6"/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7"/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8"/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9"/>
              <c:layout>
                <c:manualLayout>
                  <c:xMode val="edge"/>
                  <c:yMode val="edge"/>
                  <c:x val="0.36512667660208653"/>
                  <c:y val="5.782312925170071E-2"/>
                </c:manualLayout>
              </c:layout>
              <c:spPr>
                <a:solidFill>
                  <a:srgbClr val="FFFFFF"/>
                </a:solidFill>
                <a:ln w="25388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FFFFF"/>
              </a:solidFill>
              <a:ln w="2538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критерии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99.5</c:v>
                </c:pt>
                <c:pt idx="1">
                  <c:v>97.1</c:v>
                </c:pt>
                <c:pt idx="2">
                  <c:v>98.7</c:v>
                </c:pt>
                <c:pt idx="3">
                  <c:v>97</c:v>
                </c:pt>
              </c:numCache>
            </c:numRef>
          </c:val>
        </c:ser>
        <c:dLbls>
          <c:showVal val="1"/>
        </c:dLbls>
        <c:gapWidth val="240"/>
        <c:gapDepth val="130"/>
        <c:shape val="box"/>
        <c:axId val="273151488"/>
        <c:axId val="273153024"/>
        <c:axId val="273108992"/>
      </c:bar3DChart>
      <c:catAx>
        <c:axId val="273151488"/>
        <c:scaling>
          <c:orientation val="minMax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3153024"/>
        <c:crosses val="autoZero"/>
        <c:auto val="1"/>
        <c:lblAlgn val="ctr"/>
        <c:lblOffset val="100"/>
        <c:tickLblSkip val="1"/>
        <c:tickMarkSkip val="1"/>
      </c:catAx>
      <c:valAx>
        <c:axId val="27315302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Охват прививками в %  </a:t>
                </a:r>
              </a:p>
            </c:rich>
          </c:tx>
          <c:layout>
            <c:manualLayout>
              <c:xMode val="edge"/>
              <c:yMode val="edge"/>
              <c:x val="5.2160953800298081E-2"/>
              <c:y val="0.39115646258503411"/>
            </c:manualLayout>
          </c:layout>
          <c:spPr>
            <a:noFill/>
            <a:ln w="25388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151488"/>
        <c:crosses val="autoZero"/>
        <c:crossBetween val="between"/>
      </c:valAx>
      <c:serAx>
        <c:axId val="27310899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6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3153024"/>
        <c:crosses val="autoZero"/>
        <c:tickLblSkip val="1"/>
        <c:tickMarkSkip val="1"/>
      </c:serAx>
      <c:spPr>
        <a:noFill/>
        <a:ln w="2538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802610114192501"/>
          <c:y val="4.3103448275862051E-2"/>
          <c:w val="0.75856443719412758"/>
          <c:h val="0.534482758620689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ln w="38026">
              <a:solidFill>
                <a:srgbClr val="000080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23.3</c:v>
                </c:pt>
                <c:pt idx="1">
                  <c:v>28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ДДУ</c:v>
                </c:pt>
              </c:strCache>
            </c:strRef>
          </c:tx>
          <c:spPr>
            <a:ln w="38026">
              <a:solidFill>
                <a:srgbClr val="FF00FF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7.2</c:v>
                </c:pt>
                <c:pt idx="2">
                  <c:v>77.099999999999994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з/п пром.предпр.</c:v>
                </c:pt>
              </c:strCache>
            </c:strRef>
          </c:tx>
          <c:spPr>
            <a:ln w="38026">
              <a:solidFill>
                <a:srgbClr val="FFFF00"/>
              </a:solidFill>
              <a:prstDash val="solid"/>
            </a:ln>
          </c:spPr>
          <c:marker>
            <c:symbol val="triangle"/>
            <c:size val="10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41.8</c:v>
                </c:pt>
                <c:pt idx="1">
                  <c:v>69.099999999999994</c:v>
                </c:pt>
                <c:pt idx="2">
                  <c:v>78.2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з/п ПТУ ВУЗ</c:v>
                </c:pt>
              </c:strCache>
            </c:strRef>
          </c:tx>
          <c:spPr>
            <a:ln w="38026">
              <a:solidFill>
                <a:srgbClr val="FF0000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65.5</c:v>
                </c:pt>
                <c:pt idx="1">
                  <c:v>89.6</c:v>
                </c:pt>
                <c:pt idx="2">
                  <c:v>96.5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marker val="1"/>
        <c:axId val="273188352"/>
        <c:axId val="273190272"/>
      </c:lineChart>
      <c:catAx>
        <c:axId val="273188352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190272"/>
        <c:crosses val="autoZero"/>
        <c:auto val="1"/>
        <c:lblAlgn val="ctr"/>
        <c:lblOffset val="100"/>
        <c:tickLblSkip val="1"/>
        <c:tickMarkSkip val="1"/>
      </c:catAx>
      <c:valAx>
        <c:axId val="27319027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обесп. термосумками в %  </a:t>
                </a:r>
              </a:p>
            </c:rich>
          </c:tx>
          <c:layout>
            <c:manualLayout>
              <c:xMode val="edge"/>
              <c:yMode val="edge"/>
              <c:x val="6.5252854812398071E-3"/>
              <c:y val="8.6206896551724171E-2"/>
            </c:manualLayout>
          </c:layout>
          <c:spPr>
            <a:noFill/>
            <a:ln w="25351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188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7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2645</Words>
  <Characters>15082</Characters>
  <Application>Microsoft Office Word</Application>
  <DocSecurity>0</DocSecurity>
  <Lines>125</Lines>
  <Paragraphs>35</Paragraphs>
  <ScaleCrop>false</ScaleCrop>
  <Company>Korn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</dc:creator>
  <cp:keywords/>
  <dc:description/>
  <cp:lastModifiedBy>Igo</cp:lastModifiedBy>
  <cp:revision>1</cp:revision>
  <dcterms:created xsi:type="dcterms:W3CDTF">2009-07-17T14:54:00Z</dcterms:created>
  <dcterms:modified xsi:type="dcterms:W3CDTF">2009-07-17T14:58:00Z</dcterms:modified>
</cp:coreProperties>
</file>